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4CF" w:rsidRDefault="006444CF" w:rsidP="006444CF">
      <w:pPr>
        <w:jc w:val="center"/>
        <w:rPr>
          <w:rFonts w:ascii="Times New Roman" w:eastAsia="华文中宋" w:hAnsi="Times New Roman"/>
          <w:b/>
          <w:bCs/>
          <w:sz w:val="36"/>
          <w:szCs w:val="36"/>
        </w:rPr>
      </w:pPr>
      <w:r>
        <w:rPr>
          <w:rFonts w:ascii="Times New Roman" w:eastAsia="华文中宋" w:hAnsi="Times New Roman" w:cs="华文中宋" w:hint="eastAsia"/>
          <w:b/>
          <w:bCs/>
          <w:sz w:val="36"/>
          <w:szCs w:val="36"/>
        </w:rPr>
        <w:t>关于《最高人民法院关于全面深化人民法院改革</w:t>
      </w:r>
    </w:p>
    <w:p w:rsidR="006444CF" w:rsidRDefault="006444CF" w:rsidP="006444CF">
      <w:pPr>
        <w:jc w:val="center"/>
        <w:rPr>
          <w:rFonts w:ascii="Times New Roman" w:eastAsia="华文中宋" w:hAnsi="Times New Roman"/>
          <w:b/>
          <w:bCs/>
          <w:sz w:val="36"/>
          <w:szCs w:val="36"/>
        </w:rPr>
      </w:pPr>
      <w:r>
        <w:rPr>
          <w:rFonts w:ascii="Times New Roman" w:eastAsia="华文中宋" w:hAnsi="Times New Roman" w:cs="华文中宋" w:hint="eastAsia"/>
          <w:b/>
          <w:bCs/>
          <w:sz w:val="36"/>
          <w:szCs w:val="36"/>
        </w:rPr>
        <w:t>的意见》的新闻发布稿</w:t>
      </w:r>
    </w:p>
    <w:p w:rsidR="006444CF" w:rsidRDefault="006444CF" w:rsidP="00A809F9">
      <w:pPr>
        <w:jc w:val="center"/>
        <w:rPr>
          <w:rFonts w:ascii="楷体_GB2312" w:eastAsia="楷体_GB2312" w:hAnsi="Times New Roman"/>
          <w:b/>
          <w:sz w:val="36"/>
          <w:szCs w:val="36"/>
        </w:rPr>
      </w:pPr>
    </w:p>
    <w:p w:rsidR="00A809F9" w:rsidRPr="003F3B2D" w:rsidRDefault="00A809F9" w:rsidP="00A809F9">
      <w:pPr>
        <w:jc w:val="center"/>
        <w:rPr>
          <w:rFonts w:ascii="楷体_GB2312" w:eastAsia="楷体_GB2312" w:hAnsi="Times New Roman"/>
          <w:b/>
          <w:sz w:val="36"/>
          <w:szCs w:val="36"/>
        </w:rPr>
      </w:pPr>
      <w:r w:rsidRPr="003F3B2D">
        <w:rPr>
          <w:rFonts w:ascii="楷体_GB2312" w:eastAsia="楷体_GB2312" w:hAnsi="Times New Roman" w:hint="eastAsia"/>
          <w:b/>
          <w:sz w:val="36"/>
          <w:szCs w:val="36"/>
        </w:rPr>
        <w:t>最高人民法院副院长  李少平</w:t>
      </w:r>
    </w:p>
    <w:p w:rsidR="00A809F9" w:rsidRPr="003F3B2D" w:rsidRDefault="00A809F9" w:rsidP="00A809F9">
      <w:pPr>
        <w:jc w:val="center"/>
        <w:rPr>
          <w:rFonts w:ascii="Times New Roman" w:eastAsia="华文中宋" w:hAnsi="Times New Roman"/>
          <w:sz w:val="36"/>
          <w:szCs w:val="36"/>
        </w:rPr>
      </w:pPr>
      <w:r w:rsidRPr="003F3B2D">
        <w:rPr>
          <w:rFonts w:ascii="Times New Roman" w:eastAsia="楷体_GB2312" w:hAnsi="Times New Roman"/>
          <w:sz w:val="36"/>
          <w:szCs w:val="36"/>
        </w:rPr>
        <w:t xml:space="preserve"> </w:t>
      </w:r>
      <w:r w:rsidRPr="003F3B2D">
        <w:rPr>
          <w:rFonts w:ascii="Times New Roman" w:eastAsia="楷体_GB2312" w:hAnsi="Times New Roman" w:hint="eastAsia"/>
          <w:sz w:val="36"/>
          <w:szCs w:val="36"/>
        </w:rPr>
        <w:t>（</w:t>
      </w:r>
      <w:r w:rsidRPr="003F3B2D">
        <w:rPr>
          <w:rFonts w:ascii="Times New Roman" w:eastAsia="楷体_GB2312" w:hAnsi="Times New Roman"/>
          <w:sz w:val="36"/>
          <w:szCs w:val="36"/>
        </w:rPr>
        <w:t>2015</w:t>
      </w:r>
      <w:r w:rsidRPr="003F3B2D">
        <w:rPr>
          <w:rFonts w:ascii="Times New Roman" w:eastAsia="楷体_GB2312" w:hAnsi="Times New Roman" w:hint="eastAsia"/>
          <w:sz w:val="36"/>
          <w:szCs w:val="36"/>
        </w:rPr>
        <w:t>年</w:t>
      </w:r>
      <w:r w:rsidR="0009463E" w:rsidRPr="003F3B2D">
        <w:rPr>
          <w:rFonts w:ascii="Times New Roman" w:eastAsia="楷体_GB2312" w:hAnsi="Times New Roman" w:hint="eastAsia"/>
          <w:sz w:val="36"/>
          <w:szCs w:val="36"/>
        </w:rPr>
        <w:t>2</w:t>
      </w:r>
      <w:r w:rsidRPr="003F3B2D">
        <w:rPr>
          <w:rFonts w:ascii="Times New Roman" w:eastAsia="楷体_GB2312" w:hAnsi="Times New Roman" w:hint="eastAsia"/>
          <w:sz w:val="36"/>
          <w:szCs w:val="36"/>
        </w:rPr>
        <w:t>月</w:t>
      </w:r>
      <w:r w:rsidR="0009463E" w:rsidRPr="003F3B2D">
        <w:rPr>
          <w:rFonts w:ascii="Times New Roman" w:eastAsia="楷体_GB2312" w:hAnsi="Times New Roman" w:hint="eastAsia"/>
          <w:sz w:val="36"/>
          <w:szCs w:val="36"/>
        </w:rPr>
        <w:t>26</w:t>
      </w:r>
      <w:r w:rsidRPr="003F3B2D">
        <w:rPr>
          <w:rFonts w:ascii="Times New Roman" w:eastAsia="楷体_GB2312" w:hAnsi="Times New Roman" w:hint="eastAsia"/>
          <w:sz w:val="36"/>
          <w:szCs w:val="36"/>
        </w:rPr>
        <w:t>日）</w:t>
      </w:r>
    </w:p>
    <w:p w:rsidR="00A809F9" w:rsidRDefault="00A809F9" w:rsidP="00A809F9">
      <w:pPr>
        <w:rPr>
          <w:rFonts w:ascii="仿宋_GB2312" w:eastAsia="仿宋_GB2312" w:hAnsi="Times New Roman"/>
          <w:sz w:val="32"/>
          <w:szCs w:val="32"/>
        </w:rPr>
      </w:pPr>
    </w:p>
    <w:p w:rsidR="00A809F9" w:rsidRPr="006444CF" w:rsidRDefault="00A809F9" w:rsidP="00A809F9">
      <w:pPr>
        <w:rPr>
          <w:rFonts w:ascii="仿宋_GB2312" w:eastAsia="仿宋_GB2312" w:hAnsi="Times New Roman"/>
          <w:sz w:val="32"/>
          <w:szCs w:val="32"/>
        </w:rPr>
      </w:pPr>
      <w:r w:rsidRPr="006444CF">
        <w:rPr>
          <w:rFonts w:ascii="仿宋_GB2312" w:eastAsia="仿宋_GB2312" w:hAnsi="Times New Roman" w:hint="eastAsia"/>
          <w:sz w:val="32"/>
          <w:szCs w:val="32"/>
        </w:rPr>
        <w:t>各位记者：</w:t>
      </w:r>
    </w:p>
    <w:p w:rsidR="00A809F9" w:rsidRPr="006444CF" w:rsidRDefault="00A809F9" w:rsidP="006444CF">
      <w:pPr>
        <w:ind w:firstLineChars="200" w:firstLine="640"/>
        <w:rPr>
          <w:rFonts w:ascii="Times New Roman" w:eastAsia="黑体" w:hAnsi="Times New Roman"/>
          <w:sz w:val="32"/>
          <w:szCs w:val="32"/>
        </w:rPr>
      </w:pPr>
      <w:r w:rsidRPr="006444CF">
        <w:rPr>
          <w:rFonts w:ascii="仿宋_GB2312" w:eastAsia="仿宋_GB2312" w:hAnsi="Times New Roman" w:hint="eastAsia"/>
          <w:sz w:val="32"/>
          <w:szCs w:val="32"/>
        </w:rPr>
        <w:t>大家好！下面由我为大家介绍《最高人民法院关于全面深化人民法院改</w:t>
      </w:r>
      <w:r w:rsidRPr="006444CF">
        <w:rPr>
          <w:rFonts w:ascii="Times New Roman" w:eastAsia="仿宋_GB2312" w:hAnsi="Times New Roman" w:hint="eastAsia"/>
          <w:sz w:val="32"/>
          <w:szCs w:val="32"/>
        </w:rPr>
        <w:t>革的意见》（</w:t>
      </w:r>
      <w:r w:rsidRPr="006444CF">
        <w:rPr>
          <w:rFonts w:ascii="Times New Roman" w:eastAsia="楷体_GB2312" w:hAnsi="Times New Roman" w:hint="eastAsia"/>
          <w:sz w:val="32"/>
          <w:szCs w:val="32"/>
        </w:rPr>
        <w:t>以下简称《意见》</w:t>
      </w:r>
      <w:r w:rsidRPr="006444CF">
        <w:rPr>
          <w:rFonts w:ascii="Times New Roman" w:eastAsia="仿宋_GB2312" w:hAnsi="Times New Roman" w:hint="eastAsia"/>
          <w:sz w:val="32"/>
          <w:szCs w:val="32"/>
        </w:rPr>
        <w:t>），即修订后的《人民法院第四个五年改革纲要（</w:t>
      </w:r>
      <w:r w:rsidRPr="006444CF">
        <w:rPr>
          <w:rFonts w:ascii="Times New Roman" w:eastAsia="仿宋_GB2312" w:hAnsi="Times New Roman"/>
          <w:sz w:val="32"/>
          <w:szCs w:val="32"/>
        </w:rPr>
        <w:t>2014-2018</w:t>
      </w:r>
      <w:r w:rsidRPr="006444CF">
        <w:rPr>
          <w:rFonts w:ascii="Times New Roman" w:eastAsia="仿宋_GB2312" w:hAnsi="Times New Roman" w:hint="eastAsia"/>
          <w:sz w:val="32"/>
          <w:szCs w:val="32"/>
        </w:rPr>
        <w:t>）》的有关情况。</w:t>
      </w:r>
    </w:p>
    <w:p w:rsidR="00A809F9" w:rsidRPr="006444CF" w:rsidRDefault="00A809F9" w:rsidP="006444CF">
      <w:pPr>
        <w:ind w:firstLineChars="250" w:firstLine="800"/>
        <w:rPr>
          <w:rFonts w:ascii="Times New Roman" w:eastAsia="黑体" w:hAnsi="Times New Roman"/>
          <w:sz w:val="32"/>
          <w:szCs w:val="32"/>
        </w:rPr>
      </w:pPr>
      <w:r w:rsidRPr="006444CF">
        <w:rPr>
          <w:rFonts w:ascii="Times New Roman" w:eastAsia="黑体" w:hAnsi="Times New Roman" w:hint="eastAsia"/>
          <w:sz w:val="32"/>
          <w:szCs w:val="32"/>
        </w:rPr>
        <w:t>一、《意见》制定背景和过程</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党的十八大以来，党中央高度重视依法治国，强调落实依法治国基本方略，加快建设社会主义法治国家。习近平总书记就加强法治建设发表系列重要论述，对建设社会主义法治国家提出明确要求。党的十八届三中、四中全会确定了推进法治中国建设、深化司法体制改革的主要任务、首次对全面推进依法治国作出重大部署。人民法院司法事业发展正面临前所未有的重大历史机遇。</w:t>
      </w:r>
    </w:p>
    <w:p w:rsidR="00A809F9" w:rsidRPr="006444CF" w:rsidRDefault="00A809F9" w:rsidP="006444CF">
      <w:pPr>
        <w:ind w:firstLineChars="200" w:firstLine="640"/>
        <w:rPr>
          <w:rFonts w:ascii="Times New Roman" w:eastAsia="仿宋_GB2312" w:hAnsi="Times New Roman"/>
          <w:color w:val="000000"/>
          <w:sz w:val="32"/>
          <w:szCs w:val="32"/>
        </w:rPr>
      </w:pPr>
      <w:r w:rsidRPr="006444CF">
        <w:rPr>
          <w:rFonts w:ascii="Times New Roman" w:eastAsia="仿宋_GB2312" w:hAnsi="Times New Roman" w:hint="eastAsia"/>
          <w:sz w:val="32"/>
          <w:szCs w:val="32"/>
        </w:rPr>
        <w:t>党的十八届三中全会之后</w:t>
      </w:r>
      <w:r w:rsidRPr="006444CF">
        <w:rPr>
          <w:rFonts w:ascii="Times New Roman" w:eastAsia="仿宋_GB2312" w:hAnsi="Times New Roman" w:hint="eastAsia"/>
          <w:color w:val="000000"/>
          <w:sz w:val="32"/>
          <w:szCs w:val="32"/>
        </w:rPr>
        <w:t>，最高人民法院</w:t>
      </w:r>
      <w:r w:rsidRPr="006444CF">
        <w:rPr>
          <w:rFonts w:ascii="Times New Roman" w:eastAsia="仿宋_GB2312" w:hAnsi="Times New Roman" w:hint="eastAsia"/>
          <w:sz w:val="32"/>
          <w:szCs w:val="32"/>
        </w:rPr>
        <w:t>结合法院工作实际，在深入开展调研、广泛征求意见基础上，研究制定了《人民法院第四个五年改革纲要（</w:t>
      </w:r>
      <w:r w:rsidRPr="006444CF">
        <w:rPr>
          <w:rFonts w:ascii="Times New Roman" w:eastAsia="仿宋_GB2312" w:hAnsi="Times New Roman"/>
          <w:sz w:val="32"/>
          <w:szCs w:val="32"/>
        </w:rPr>
        <w:t>2014-2018</w:t>
      </w:r>
      <w:r w:rsidRPr="006444CF">
        <w:rPr>
          <w:rFonts w:ascii="Times New Roman" w:eastAsia="仿宋_GB2312" w:hAnsi="Times New Roman" w:hint="eastAsia"/>
          <w:sz w:val="32"/>
          <w:szCs w:val="32"/>
        </w:rPr>
        <w:t>）》。党的十八届</w:t>
      </w:r>
      <w:r w:rsidRPr="006444CF">
        <w:rPr>
          <w:rFonts w:ascii="Times New Roman" w:eastAsia="仿宋_GB2312" w:hAnsi="Times New Roman" w:hint="eastAsia"/>
          <w:sz w:val="32"/>
          <w:szCs w:val="32"/>
        </w:rPr>
        <w:lastRenderedPageBreak/>
        <w:t>四中全会从科学立法、严格执法、公正司法、全民守法等方面，又提出了一系列新的重大改革举措，其中由人民法院牵头推进的有</w:t>
      </w:r>
      <w:r w:rsidRPr="006444CF">
        <w:rPr>
          <w:rFonts w:ascii="Times New Roman" w:eastAsia="仿宋_GB2312" w:hAnsi="Times New Roman"/>
          <w:sz w:val="32"/>
          <w:szCs w:val="32"/>
        </w:rPr>
        <w:t>29</w:t>
      </w:r>
      <w:r w:rsidRPr="006444CF">
        <w:rPr>
          <w:rFonts w:ascii="Times New Roman" w:eastAsia="仿宋_GB2312" w:hAnsi="Times New Roman" w:hint="eastAsia"/>
          <w:sz w:val="32"/>
          <w:szCs w:val="32"/>
        </w:rPr>
        <w:t>项、配合参加的有</w:t>
      </w:r>
      <w:r w:rsidRPr="006444CF">
        <w:rPr>
          <w:rFonts w:ascii="Times New Roman" w:eastAsia="仿宋_GB2312" w:hAnsi="Times New Roman"/>
          <w:sz w:val="32"/>
          <w:szCs w:val="32"/>
        </w:rPr>
        <w:t>65</w:t>
      </w:r>
      <w:r w:rsidRPr="006444CF">
        <w:rPr>
          <w:rFonts w:ascii="Times New Roman" w:eastAsia="仿宋_GB2312" w:hAnsi="Times New Roman" w:hint="eastAsia"/>
          <w:sz w:val="32"/>
          <w:szCs w:val="32"/>
        </w:rPr>
        <w:t>项。与此同时，随着改革深入推进和试点工作展开，最高人民法院在四中全会之后，第一时间组织力量再次对“四五改革纲要”进行修订。修订工作历时</w:t>
      </w:r>
      <w:r w:rsidRPr="006444CF">
        <w:rPr>
          <w:rFonts w:ascii="Times New Roman" w:eastAsia="仿宋_GB2312" w:hAnsi="Times New Roman"/>
          <w:sz w:val="32"/>
          <w:szCs w:val="32"/>
        </w:rPr>
        <w:t>4</w:t>
      </w:r>
      <w:r w:rsidRPr="006444CF">
        <w:rPr>
          <w:rFonts w:ascii="Times New Roman" w:eastAsia="仿宋_GB2312" w:hAnsi="Times New Roman" w:hint="eastAsia"/>
          <w:sz w:val="32"/>
          <w:szCs w:val="32"/>
        </w:rPr>
        <w:t>个月，经过深入论证，征求了中央有关部门、部分地方法院和专家学者的意见，制定了《最高人民法院关于全面深化人民法院改革的意见》，并将之作为修订后的《人民法院第四个五年改革纲要（</w:t>
      </w:r>
      <w:r w:rsidRPr="006444CF">
        <w:rPr>
          <w:rFonts w:ascii="Times New Roman" w:eastAsia="仿宋_GB2312" w:hAnsi="Times New Roman"/>
          <w:sz w:val="32"/>
          <w:szCs w:val="32"/>
        </w:rPr>
        <w:t>2014</w:t>
      </w:r>
      <w:r w:rsidRPr="006444CF">
        <w:rPr>
          <w:rFonts w:ascii="Times New Roman" w:eastAsia="黑体" w:hAnsi="Times New Roman"/>
          <w:sz w:val="32"/>
          <w:szCs w:val="32"/>
        </w:rPr>
        <w:t>--</w:t>
      </w:r>
      <w:r w:rsidRPr="006444CF">
        <w:rPr>
          <w:rFonts w:ascii="Times New Roman" w:eastAsia="仿宋_GB2312" w:hAnsi="Times New Roman"/>
          <w:sz w:val="32"/>
          <w:szCs w:val="32"/>
        </w:rPr>
        <w:t>2018</w:t>
      </w:r>
      <w:r w:rsidRPr="006444CF">
        <w:rPr>
          <w:rFonts w:ascii="Times New Roman" w:eastAsia="仿宋_GB2312" w:hAnsi="Times New Roman" w:hint="eastAsia"/>
          <w:sz w:val="32"/>
          <w:szCs w:val="32"/>
        </w:rPr>
        <w:t>）》贯彻实施，于今天正式全文发布。</w:t>
      </w:r>
    </w:p>
    <w:p w:rsidR="00A809F9" w:rsidRPr="006444CF" w:rsidRDefault="00A809F9" w:rsidP="006444CF">
      <w:pPr>
        <w:ind w:firstLineChars="200" w:firstLine="640"/>
        <w:rPr>
          <w:rFonts w:ascii="黑体" w:eastAsia="黑体" w:hAnsi="Times New Roman"/>
          <w:color w:val="000000"/>
          <w:sz w:val="32"/>
          <w:szCs w:val="32"/>
        </w:rPr>
      </w:pPr>
      <w:r w:rsidRPr="006444CF">
        <w:rPr>
          <w:rFonts w:ascii="黑体" w:eastAsia="黑体" w:hAnsi="Times New Roman" w:hint="eastAsia"/>
          <w:sz w:val="32"/>
          <w:szCs w:val="32"/>
        </w:rPr>
        <w:t>二、《意见》的总体思路、基本原则和主要特点</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《意见》确立了</w:t>
      </w:r>
      <w:r w:rsidRPr="006444CF">
        <w:rPr>
          <w:rFonts w:ascii="仿宋_GB2312" w:eastAsia="仿宋_GB2312" w:hAnsi="Times New Roman" w:hint="eastAsia"/>
          <w:sz w:val="32"/>
          <w:szCs w:val="32"/>
        </w:rPr>
        <w:t>全面深化人民法院改</w:t>
      </w:r>
      <w:r w:rsidRPr="006444CF">
        <w:rPr>
          <w:rFonts w:ascii="Times New Roman" w:eastAsia="仿宋_GB2312" w:hAnsi="Times New Roman" w:hint="eastAsia"/>
          <w:sz w:val="32"/>
          <w:szCs w:val="32"/>
        </w:rPr>
        <w:t>革的</w:t>
      </w:r>
      <w:r w:rsidRPr="006444CF">
        <w:rPr>
          <w:rFonts w:ascii="Times New Roman" w:eastAsia="黑体" w:hAnsi="Times New Roman" w:hint="eastAsia"/>
          <w:sz w:val="32"/>
          <w:szCs w:val="32"/>
        </w:rPr>
        <w:t>总体思路</w:t>
      </w:r>
      <w:r w:rsidRPr="006444CF">
        <w:rPr>
          <w:rFonts w:ascii="Times New Roman" w:eastAsia="仿宋_GB2312" w:hAnsi="Times New Roman" w:hint="eastAsia"/>
          <w:sz w:val="32"/>
          <w:szCs w:val="32"/>
        </w:rPr>
        <w:t>，即：紧紧围绕让人民群众在每一个司法案件中感受到公平正义的目标，始终坚持司法为民、公正司法工作主线，着力解决影响司法公正、制约司法能力的深层次问题，确保人民法院依法独立公正行使审判权，不断提高司法公信力，促进国家治理体系和治理能力现代化，到</w:t>
      </w:r>
      <w:r w:rsidRPr="006444CF">
        <w:rPr>
          <w:rFonts w:ascii="Times New Roman" w:eastAsia="仿宋_GB2312" w:hAnsi="Times New Roman"/>
          <w:sz w:val="32"/>
          <w:szCs w:val="32"/>
        </w:rPr>
        <w:t>2018</w:t>
      </w:r>
      <w:r w:rsidRPr="006444CF">
        <w:rPr>
          <w:rFonts w:ascii="Times New Roman" w:eastAsia="仿宋_GB2312" w:hAnsi="Times New Roman" w:hint="eastAsia"/>
          <w:sz w:val="32"/>
          <w:szCs w:val="32"/>
        </w:rPr>
        <w:t>年初步建成具有中国特色的社会主义审判权力运行体系，使之成为中国特色社会主义法治体系的重要组成部分，为实现“两个一百年”奋斗目标、实现中华民族伟大复兴的中国梦提供强有力的司法保障。</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《意见》提出了</w:t>
      </w:r>
      <w:r w:rsidRPr="006444CF">
        <w:rPr>
          <w:rFonts w:ascii="仿宋_GB2312" w:eastAsia="仿宋_GB2312" w:hAnsi="Times New Roman" w:hint="eastAsia"/>
          <w:sz w:val="32"/>
          <w:szCs w:val="32"/>
        </w:rPr>
        <w:t>全面深化人民法院改</w:t>
      </w:r>
      <w:r w:rsidRPr="006444CF">
        <w:rPr>
          <w:rFonts w:ascii="Times New Roman" w:eastAsia="仿宋_GB2312" w:hAnsi="Times New Roman" w:hint="eastAsia"/>
          <w:sz w:val="32"/>
          <w:szCs w:val="32"/>
        </w:rPr>
        <w:t>革的</w:t>
      </w:r>
      <w:r w:rsidRPr="006444CF">
        <w:rPr>
          <w:rFonts w:ascii="Times New Roman" w:eastAsia="黑体" w:hAnsi="Times New Roman"/>
          <w:sz w:val="32"/>
          <w:szCs w:val="32"/>
        </w:rPr>
        <w:t>5</w:t>
      </w:r>
      <w:r w:rsidRPr="006444CF">
        <w:rPr>
          <w:rFonts w:ascii="Times New Roman" w:eastAsia="黑体" w:hAnsi="Times New Roman" w:hint="eastAsia"/>
          <w:sz w:val="32"/>
          <w:szCs w:val="32"/>
        </w:rPr>
        <w:t>项基本原则：</w:t>
      </w:r>
      <w:r w:rsidRPr="006444CF">
        <w:rPr>
          <w:rFonts w:ascii="Times New Roman" w:eastAsia="楷体_GB2312" w:hAnsi="Times New Roman" w:hint="eastAsia"/>
          <w:b/>
          <w:sz w:val="32"/>
          <w:szCs w:val="32"/>
        </w:rPr>
        <w:lastRenderedPageBreak/>
        <w:t>一是</w:t>
      </w:r>
      <w:r w:rsidRPr="006444CF">
        <w:rPr>
          <w:rFonts w:ascii="Times New Roman" w:eastAsia="仿宋_GB2312" w:hAnsi="Times New Roman" w:hint="eastAsia"/>
          <w:sz w:val="32"/>
          <w:szCs w:val="32"/>
        </w:rPr>
        <w:t>坚持党的领导，确保正确政治方向；</w:t>
      </w:r>
      <w:r w:rsidRPr="006444CF">
        <w:rPr>
          <w:rFonts w:ascii="Times New Roman" w:eastAsia="楷体_GB2312" w:hAnsi="Times New Roman" w:hint="eastAsia"/>
          <w:b/>
          <w:sz w:val="32"/>
          <w:szCs w:val="32"/>
        </w:rPr>
        <w:t>二是</w:t>
      </w:r>
      <w:r w:rsidRPr="006444CF">
        <w:rPr>
          <w:rFonts w:ascii="Times New Roman" w:eastAsia="仿宋_GB2312" w:hAnsi="Times New Roman" w:hint="eastAsia"/>
          <w:sz w:val="32"/>
          <w:szCs w:val="32"/>
        </w:rPr>
        <w:t>尊重司法规律，体现司法权力属性；</w:t>
      </w:r>
      <w:r w:rsidRPr="006444CF">
        <w:rPr>
          <w:rFonts w:ascii="Times New Roman" w:eastAsia="楷体_GB2312" w:hAnsi="Times New Roman" w:hint="eastAsia"/>
          <w:b/>
          <w:sz w:val="32"/>
          <w:szCs w:val="32"/>
        </w:rPr>
        <w:t>三是</w:t>
      </w:r>
      <w:r w:rsidRPr="006444CF">
        <w:rPr>
          <w:rFonts w:ascii="Times New Roman" w:eastAsia="仿宋_GB2312" w:hAnsi="Times New Roman" w:hint="eastAsia"/>
          <w:sz w:val="32"/>
          <w:szCs w:val="32"/>
        </w:rPr>
        <w:t>依法推动改革，确保改革稳妥有序；</w:t>
      </w:r>
      <w:r w:rsidRPr="006444CF">
        <w:rPr>
          <w:rFonts w:ascii="Times New Roman" w:eastAsia="楷体_GB2312" w:hAnsi="Times New Roman" w:hint="eastAsia"/>
          <w:b/>
          <w:sz w:val="32"/>
          <w:szCs w:val="32"/>
        </w:rPr>
        <w:t>四是</w:t>
      </w:r>
      <w:r w:rsidRPr="006444CF">
        <w:rPr>
          <w:rFonts w:ascii="Times New Roman" w:eastAsia="仿宋_GB2312" w:hAnsi="Times New Roman" w:hint="eastAsia"/>
          <w:sz w:val="32"/>
          <w:szCs w:val="32"/>
        </w:rPr>
        <w:t>坚持整体推进，强调重点领域突破；</w:t>
      </w:r>
      <w:r w:rsidRPr="006444CF">
        <w:rPr>
          <w:rFonts w:ascii="Times New Roman" w:eastAsia="楷体_GB2312" w:hAnsi="Times New Roman" w:hint="eastAsia"/>
          <w:b/>
          <w:sz w:val="32"/>
          <w:szCs w:val="32"/>
        </w:rPr>
        <w:t>五是</w:t>
      </w:r>
      <w:r w:rsidRPr="006444CF">
        <w:rPr>
          <w:rFonts w:ascii="Times New Roman" w:eastAsia="仿宋_GB2312" w:hAnsi="Times New Roman" w:hint="eastAsia"/>
          <w:sz w:val="32"/>
          <w:szCs w:val="32"/>
        </w:rPr>
        <w:t>加强顶层设计，鼓励地方探索实践。</w:t>
      </w:r>
    </w:p>
    <w:p w:rsidR="00A809F9" w:rsidRPr="006444CF" w:rsidRDefault="00A809F9" w:rsidP="006444CF">
      <w:pPr>
        <w:ind w:firstLineChars="200" w:firstLine="640"/>
        <w:rPr>
          <w:rFonts w:ascii="Times New Roman" w:eastAsia="仿宋_GB2312"/>
          <w:sz w:val="32"/>
          <w:szCs w:val="32"/>
        </w:rPr>
      </w:pPr>
      <w:r w:rsidRPr="006444CF">
        <w:rPr>
          <w:rFonts w:ascii="Times New Roman" w:eastAsia="仿宋_GB2312" w:hAnsi="Times New Roman" w:hint="eastAsia"/>
          <w:sz w:val="32"/>
          <w:szCs w:val="32"/>
        </w:rPr>
        <w:t>围绕</w:t>
      </w:r>
      <w:r w:rsidRPr="006444CF">
        <w:rPr>
          <w:rFonts w:ascii="Times New Roman" w:eastAsia="仿宋_GB2312" w:hAnsi="Times New Roman" w:cs="仿宋_GB2312" w:hint="eastAsia"/>
          <w:sz w:val="32"/>
          <w:szCs w:val="32"/>
        </w:rPr>
        <w:t>建成具有中国特色的社会主义审判权力运行体系这一</w:t>
      </w:r>
      <w:r w:rsidRPr="006444CF">
        <w:rPr>
          <w:rFonts w:ascii="Times New Roman" w:eastAsia="黑体" w:hAnsi="Times New Roman" w:cs="仿宋_GB2312" w:hint="eastAsia"/>
          <w:sz w:val="32"/>
          <w:szCs w:val="32"/>
        </w:rPr>
        <w:t>关键目标</w:t>
      </w:r>
      <w:r w:rsidRPr="006444CF">
        <w:rPr>
          <w:rFonts w:ascii="Times New Roman" w:eastAsia="仿宋_GB2312" w:hAnsi="Times New Roman" w:cs="仿宋_GB2312" w:hint="eastAsia"/>
          <w:sz w:val="32"/>
          <w:szCs w:val="32"/>
        </w:rPr>
        <w:t>，《意见》</w:t>
      </w:r>
      <w:r w:rsidRPr="006444CF">
        <w:rPr>
          <w:rFonts w:ascii="Times New Roman" w:eastAsia="仿宋_GB2312" w:hAnsi="Times New Roman" w:hint="eastAsia"/>
          <w:sz w:val="32"/>
          <w:szCs w:val="32"/>
        </w:rPr>
        <w:t>提出了</w:t>
      </w:r>
      <w:r w:rsidRPr="006444CF">
        <w:rPr>
          <w:rFonts w:ascii="Times New Roman" w:eastAsia="黑体" w:hAnsi="Times New Roman"/>
          <w:sz w:val="32"/>
          <w:szCs w:val="32"/>
        </w:rPr>
        <w:t>7</w:t>
      </w:r>
      <w:r w:rsidRPr="006444CF">
        <w:rPr>
          <w:rFonts w:ascii="Times New Roman" w:eastAsia="黑体" w:hAnsi="Times New Roman" w:hint="eastAsia"/>
          <w:sz w:val="32"/>
          <w:szCs w:val="32"/>
        </w:rPr>
        <w:t>个方面</w:t>
      </w:r>
      <w:r w:rsidRPr="006444CF">
        <w:rPr>
          <w:rFonts w:ascii="Times New Roman" w:eastAsia="黑体" w:hAnsi="Times New Roman"/>
          <w:sz w:val="32"/>
          <w:szCs w:val="32"/>
        </w:rPr>
        <w:t>65</w:t>
      </w:r>
      <w:r w:rsidRPr="006444CF">
        <w:rPr>
          <w:rFonts w:ascii="Times New Roman" w:eastAsia="黑体" w:hAnsi="Times New Roman" w:hint="eastAsia"/>
          <w:sz w:val="32"/>
          <w:szCs w:val="32"/>
        </w:rPr>
        <w:t>项司法改革举措</w:t>
      </w:r>
      <w:r w:rsidRPr="006444CF">
        <w:rPr>
          <w:rFonts w:ascii="Times New Roman" w:eastAsia="仿宋_GB2312" w:hAnsi="Times New Roman" w:hint="eastAsia"/>
          <w:sz w:val="32"/>
          <w:szCs w:val="32"/>
        </w:rPr>
        <w:t>，涉及法院组织体系、司法管辖制度、法官履职保障、审判权力运行、法院人事管理等各个层面，并</w:t>
      </w:r>
      <w:r w:rsidRPr="006444CF">
        <w:rPr>
          <w:rFonts w:ascii="Times New Roman" w:eastAsia="仿宋_GB2312" w:hAnsi="Times New Roman" w:cs="仿宋_GB2312" w:hint="eastAsia"/>
          <w:sz w:val="32"/>
          <w:szCs w:val="32"/>
        </w:rPr>
        <w:t>设定了具体的路线图和时间表：</w:t>
      </w:r>
      <w:r w:rsidRPr="006444CF">
        <w:rPr>
          <w:rFonts w:ascii="Times New Roman" w:eastAsia="楷体_GB2312" w:hAnsi="Times New Roman" w:cs="仿宋_GB2312" w:hint="eastAsia"/>
          <w:b/>
          <w:sz w:val="32"/>
          <w:szCs w:val="32"/>
        </w:rPr>
        <w:t>一是</w:t>
      </w:r>
      <w:r w:rsidRPr="006444CF">
        <w:rPr>
          <w:rFonts w:ascii="Times New Roman" w:eastAsia="仿宋_GB2312" w:cs="仿宋_GB2312" w:hint="eastAsia"/>
          <w:sz w:val="32"/>
          <w:szCs w:val="32"/>
        </w:rPr>
        <w:t>到</w:t>
      </w:r>
      <w:r w:rsidRPr="006444CF">
        <w:rPr>
          <w:rFonts w:ascii="Times New Roman" w:eastAsia="仿宋_GB2312" w:hAnsi="Times New Roman"/>
          <w:sz w:val="32"/>
          <w:szCs w:val="32"/>
        </w:rPr>
        <w:t>2015</w:t>
      </w:r>
      <w:r w:rsidRPr="006444CF">
        <w:rPr>
          <w:rFonts w:ascii="Times New Roman" w:eastAsia="仿宋_GB2312" w:cs="仿宋_GB2312" w:hint="eastAsia"/>
          <w:sz w:val="32"/>
          <w:szCs w:val="32"/>
        </w:rPr>
        <w:t>年底，健全完善权责明晰、权责统一、监督有序、配套齐全的审判权力运行机制；形成体系完备、信息齐全、使用便捷的人民法院审判流程公开、裁判文书公开和执行信息公开三大平台，建立覆盖全面、系统科学、便民利民的司法为民机制。</w:t>
      </w:r>
      <w:r w:rsidRPr="006444CF">
        <w:rPr>
          <w:rFonts w:ascii="Times New Roman" w:eastAsia="楷体_GB2312" w:hAnsi="Times New Roman" w:cs="仿宋_GB2312" w:hint="eastAsia"/>
          <w:b/>
          <w:sz w:val="32"/>
          <w:szCs w:val="32"/>
        </w:rPr>
        <w:t>二是</w:t>
      </w:r>
      <w:r w:rsidRPr="006444CF">
        <w:rPr>
          <w:rFonts w:ascii="Times New Roman" w:eastAsia="仿宋_GB2312" w:cs="仿宋_GB2312" w:hint="eastAsia"/>
          <w:sz w:val="32"/>
          <w:szCs w:val="32"/>
        </w:rPr>
        <w:t>到</w:t>
      </w:r>
      <w:r w:rsidRPr="006444CF">
        <w:rPr>
          <w:rFonts w:ascii="Times New Roman" w:eastAsia="仿宋_GB2312" w:hAnsi="Times New Roman"/>
          <w:sz w:val="32"/>
          <w:szCs w:val="32"/>
        </w:rPr>
        <w:t>2016</w:t>
      </w:r>
      <w:r w:rsidRPr="006444CF">
        <w:rPr>
          <w:rFonts w:ascii="Times New Roman" w:eastAsia="仿宋_GB2312" w:cs="仿宋_GB2312" w:hint="eastAsia"/>
          <w:sz w:val="32"/>
          <w:szCs w:val="32"/>
        </w:rPr>
        <w:t>年底，推动建立以审判为中心的诉讼制度，形成定位科学、职能明确、运行有效的法院职权配置模式。</w:t>
      </w:r>
      <w:r w:rsidRPr="006444CF">
        <w:rPr>
          <w:rFonts w:ascii="Times New Roman" w:eastAsia="楷体_GB2312" w:hAnsi="Times New Roman" w:cs="仿宋_GB2312" w:hint="eastAsia"/>
          <w:b/>
          <w:sz w:val="32"/>
          <w:szCs w:val="32"/>
        </w:rPr>
        <w:t>三是</w:t>
      </w:r>
      <w:r w:rsidRPr="006444CF">
        <w:rPr>
          <w:rFonts w:ascii="Times New Roman" w:eastAsia="仿宋_GB2312" w:cs="仿宋_GB2312" w:hint="eastAsia"/>
          <w:sz w:val="32"/>
          <w:szCs w:val="32"/>
        </w:rPr>
        <w:t>到</w:t>
      </w:r>
      <w:r w:rsidRPr="006444CF">
        <w:rPr>
          <w:rFonts w:ascii="Times New Roman" w:eastAsia="仿宋_GB2312" w:hAnsi="Times New Roman"/>
          <w:sz w:val="32"/>
          <w:szCs w:val="32"/>
        </w:rPr>
        <w:t>2017</w:t>
      </w:r>
      <w:r w:rsidRPr="006444CF">
        <w:rPr>
          <w:rFonts w:ascii="Times New Roman" w:eastAsia="仿宋_GB2312" w:cs="仿宋_GB2312" w:hint="eastAsia"/>
          <w:sz w:val="32"/>
          <w:szCs w:val="32"/>
        </w:rPr>
        <w:t>年底，初步建立分类科学、分工明确、结构合理和符合司法职业特点的法院人员管理制度。</w:t>
      </w:r>
      <w:r w:rsidRPr="006444CF">
        <w:rPr>
          <w:rFonts w:ascii="Times New Roman" w:eastAsia="楷体_GB2312" w:cs="仿宋_GB2312" w:hint="eastAsia"/>
          <w:sz w:val="32"/>
          <w:szCs w:val="32"/>
        </w:rPr>
        <w:t>四是</w:t>
      </w:r>
      <w:r w:rsidRPr="006444CF">
        <w:rPr>
          <w:rFonts w:ascii="Times New Roman" w:eastAsia="仿宋_GB2312" w:cs="仿宋_GB2312" w:hint="eastAsia"/>
          <w:sz w:val="32"/>
          <w:szCs w:val="32"/>
        </w:rPr>
        <w:t>到</w:t>
      </w:r>
      <w:r w:rsidRPr="006444CF">
        <w:rPr>
          <w:rFonts w:ascii="Times New Roman" w:eastAsia="仿宋_GB2312" w:hAnsi="Times New Roman"/>
          <w:sz w:val="32"/>
          <w:szCs w:val="32"/>
        </w:rPr>
        <w:t>2018</w:t>
      </w:r>
      <w:r w:rsidRPr="006444CF">
        <w:rPr>
          <w:rFonts w:ascii="Times New Roman" w:eastAsia="仿宋_GB2312" w:cs="仿宋_GB2312" w:hint="eastAsia"/>
          <w:sz w:val="32"/>
          <w:szCs w:val="32"/>
        </w:rPr>
        <w:t>年底，推动形成信赖司法、尊重司法、支持司法的制度环境和社会氛围。</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《意见》具有以下几个方面的突出特点：</w:t>
      </w:r>
      <w:r w:rsidRPr="006444CF">
        <w:rPr>
          <w:rFonts w:ascii="Times New Roman" w:eastAsia="楷体_GB2312" w:hAnsi="Times New Roman" w:hint="eastAsia"/>
          <w:b/>
          <w:sz w:val="32"/>
          <w:szCs w:val="32"/>
        </w:rPr>
        <w:t>一是整体推进，重点突破。</w:t>
      </w:r>
      <w:r w:rsidRPr="006444CF">
        <w:rPr>
          <w:rFonts w:ascii="Times New Roman" w:eastAsia="仿宋_GB2312" w:hAnsi="Times New Roman" w:hint="eastAsia"/>
          <w:sz w:val="32"/>
          <w:szCs w:val="32"/>
        </w:rPr>
        <w:t>《意见》提出的改革举措严格与十八届三中、四中全会决定确定的改革举措“对表”，是对中央改革任务的分解、延伸与细化。</w:t>
      </w:r>
      <w:r w:rsidRPr="006444CF">
        <w:rPr>
          <w:rFonts w:ascii="Times New Roman" w:eastAsia="楷体_GB2312" w:hAnsi="Times New Roman" w:hint="eastAsia"/>
          <w:b/>
          <w:sz w:val="32"/>
          <w:szCs w:val="32"/>
        </w:rPr>
        <w:t>二是问题导向，体制革新。</w:t>
      </w:r>
      <w:r w:rsidRPr="006444CF">
        <w:rPr>
          <w:rFonts w:ascii="Times New Roman" w:eastAsia="仿宋_GB2312" w:hAnsi="Times New Roman" w:hint="eastAsia"/>
          <w:sz w:val="32"/>
          <w:szCs w:val="32"/>
        </w:rPr>
        <w:t>《意见》坚</w:t>
      </w:r>
      <w:r w:rsidRPr="006444CF">
        <w:rPr>
          <w:rFonts w:ascii="Times New Roman" w:eastAsia="仿宋_GB2312" w:hAnsi="Times New Roman" w:hint="eastAsia"/>
          <w:sz w:val="32"/>
          <w:szCs w:val="32"/>
        </w:rPr>
        <w:lastRenderedPageBreak/>
        <w:t>持以问题为导向，紧紧抓住影响司法公正、制约司法能力的突出问题，提出一系列重大改革举措。许多改革举措的力度、广度和深度前所未有。</w:t>
      </w:r>
      <w:r w:rsidRPr="006444CF">
        <w:rPr>
          <w:rFonts w:ascii="Times New Roman" w:eastAsia="楷体_GB2312" w:hAnsi="Times New Roman" w:hint="eastAsia"/>
          <w:b/>
          <w:sz w:val="32"/>
          <w:szCs w:val="32"/>
        </w:rPr>
        <w:t>三是横向联系，纵向传承。</w:t>
      </w:r>
      <w:r w:rsidRPr="006444CF">
        <w:rPr>
          <w:rFonts w:ascii="Times New Roman" w:eastAsia="仿宋_GB2312" w:hAnsi="Times New Roman" w:hint="eastAsia"/>
          <w:sz w:val="32"/>
          <w:szCs w:val="32"/>
        </w:rPr>
        <w:t>《意见》充分考虑了改革举措之间的关联性，在内容设置、进度安排、成果形式上能够相互呼应；坚持继承与创新相结合，在充分吸收人民法院前三个“五年改革纲要”的成功经验和优秀成果基础上，对前几轮改革中尚未完全解决或者有待进一步改革完善的问题作了新的调整和细化。</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总之，《意见》是指导当前和今后一个时期人民法院改革工作的重要纲领性文件，也是人民法院贯彻落实党的十八届三中、四中全会精神的重要抓手。</w:t>
      </w:r>
    </w:p>
    <w:p w:rsidR="00A809F9" w:rsidRPr="006444CF" w:rsidRDefault="00A809F9" w:rsidP="006444CF">
      <w:pPr>
        <w:ind w:firstLineChars="200" w:firstLine="640"/>
        <w:rPr>
          <w:rFonts w:ascii="Times New Roman" w:eastAsia="黑体" w:hAnsi="Times New Roman"/>
          <w:sz w:val="32"/>
          <w:szCs w:val="32"/>
        </w:rPr>
      </w:pPr>
      <w:r w:rsidRPr="006444CF">
        <w:rPr>
          <w:rFonts w:ascii="Times New Roman" w:eastAsia="黑体" w:hAnsi="Times New Roman" w:hint="eastAsia"/>
          <w:sz w:val="32"/>
          <w:szCs w:val="32"/>
        </w:rPr>
        <w:t>三、《意见》的核心内容</w:t>
      </w:r>
    </w:p>
    <w:p w:rsidR="00A809F9" w:rsidRPr="006444CF" w:rsidRDefault="00A809F9" w:rsidP="006444CF">
      <w:pPr>
        <w:ind w:firstLineChars="200" w:firstLine="640"/>
        <w:rPr>
          <w:rFonts w:ascii="Times New Roman" w:eastAsia="仿宋_GB2312" w:hAnsi="Times New Roman"/>
          <w:sz w:val="32"/>
          <w:szCs w:val="32"/>
        </w:rPr>
      </w:pPr>
      <w:r w:rsidRPr="006444CF">
        <w:rPr>
          <w:rFonts w:ascii="Times New Roman" w:eastAsia="仿宋_GB2312" w:hAnsi="Times New Roman" w:hint="eastAsia"/>
          <w:sz w:val="32"/>
          <w:szCs w:val="32"/>
        </w:rPr>
        <w:t>下面，我简要介绍一下《意见》的核心内容：</w:t>
      </w:r>
    </w:p>
    <w:p w:rsidR="00A809F9" w:rsidRPr="006444CF" w:rsidRDefault="00A809F9" w:rsidP="006444CF">
      <w:pPr>
        <w:ind w:firstLineChars="200" w:firstLine="643"/>
        <w:rPr>
          <w:rFonts w:ascii="Times New Roman" w:eastAsia="仿宋_GB2312"/>
          <w:sz w:val="32"/>
          <w:szCs w:val="32"/>
        </w:rPr>
      </w:pPr>
      <w:r w:rsidRPr="006444CF">
        <w:rPr>
          <w:rFonts w:ascii="Times New Roman" w:eastAsia="楷体_GB2312" w:hAnsi="Times New Roman" w:hint="eastAsia"/>
          <w:b/>
          <w:sz w:val="32"/>
          <w:szCs w:val="32"/>
        </w:rPr>
        <w:t>第一，确保人民法院依法独立公正行使审判权，维护国家法制统一和司法权威。</w:t>
      </w:r>
      <w:r w:rsidRPr="006444CF">
        <w:rPr>
          <w:rFonts w:ascii="Times New Roman" w:eastAsia="仿宋_GB2312" w:hAnsi="Times New Roman" w:hint="eastAsia"/>
          <w:sz w:val="32"/>
          <w:szCs w:val="32"/>
        </w:rPr>
        <w:t>确保人民法院依法独立公正行使审判权，是本轮司法改革的重要目标内容。随着我国法治建设的加快推进，我国司法环境显著改善，但不可否认，司法实践中一些地方受到不当干预等情况仍然比较突出，有些与体制机制不科学不完善存在很大关系。三中、四中全会决定提出要优化司法职权配置，改革法院管理体制，确保人民法院依法独立公正行使审判权。《意见》全面贯彻中央改革要求，提出一系列重大改革举措。</w:t>
      </w:r>
      <w:r w:rsidRPr="006444CF">
        <w:rPr>
          <w:rFonts w:ascii="楷体_GB2312" w:eastAsia="楷体_GB2312" w:hAnsi="Times New Roman" w:hint="eastAsia"/>
          <w:b/>
          <w:sz w:val="32"/>
          <w:szCs w:val="32"/>
        </w:rPr>
        <w:t>机构设置上，</w:t>
      </w:r>
      <w:r w:rsidRPr="006444CF">
        <w:rPr>
          <w:rFonts w:ascii="Times New Roman" w:eastAsia="仿宋_GB2312" w:hAnsi="Times New Roman" w:hint="eastAsia"/>
          <w:sz w:val="32"/>
          <w:szCs w:val="32"/>
        </w:rPr>
        <w:t>设立最高人民法院</w:t>
      </w:r>
      <w:r w:rsidRPr="006444CF">
        <w:rPr>
          <w:rFonts w:ascii="Times New Roman" w:eastAsia="仿宋_GB2312" w:hAnsi="Times New Roman" w:hint="eastAsia"/>
          <w:sz w:val="32"/>
          <w:szCs w:val="32"/>
        </w:rPr>
        <w:lastRenderedPageBreak/>
        <w:t>巡回法庭，审理跨行政区划重大民商事、行政等案件，</w:t>
      </w:r>
      <w:r w:rsidRPr="006444CF">
        <w:rPr>
          <w:rFonts w:ascii="Times New Roman" w:eastAsia="仿宋_GB2312" w:hint="eastAsia"/>
          <w:sz w:val="32"/>
          <w:szCs w:val="32"/>
        </w:rPr>
        <w:t>探索设立跨行政区划法院，构建普通类型案件在行政区划法院受理、特殊类型案件在跨行政区划法院受理的诉讼格局。</w:t>
      </w:r>
      <w:r w:rsidRPr="006444CF">
        <w:rPr>
          <w:rFonts w:ascii="楷体_GB2312" w:eastAsia="楷体_GB2312" w:hint="eastAsia"/>
          <w:b/>
          <w:sz w:val="32"/>
          <w:szCs w:val="32"/>
        </w:rPr>
        <w:t>管辖制度上，</w:t>
      </w:r>
      <w:r w:rsidRPr="006444CF">
        <w:rPr>
          <w:rFonts w:ascii="Times New Roman" w:eastAsia="仿宋_GB2312" w:hint="eastAsia"/>
          <w:sz w:val="32"/>
          <w:szCs w:val="32"/>
        </w:rPr>
        <w:t>改革行政案件、海事案件、环境资源案件管辖制度，探索建立与检察机关提起的公益诉讼相衔接的案件管辖制度。</w:t>
      </w:r>
      <w:r w:rsidRPr="006444CF">
        <w:rPr>
          <w:rFonts w:ascii="楷体_GB2312" w:eastAsia="楷体_GB2312" w:hint="eastAsia"/>
          <w:b/>
          <w:sz w:val="32"/>
          <w:szCs w:val="32"/>
        </w:rPr>
        <w:t>管理体制上，</w:t>
      </w:r>
      <w:r w:rsidRPr="006444CF">
        <w:rPr>
          <w:rFonts w:ascii="Times New Roman" w:eastAsia="仿宋_GB2312" w:hAnsi="Times New Roman" w:hint="eastAsia"/>
          <w:sz w:val="32"/>
          <w:szCs w:val="32"/>
        </w:rPr>
        <w:t>推动省级以下法院人财物统一管理改革，推动建立省级以下地方法院人员编制统一管理、法官统一由省级提名、管理并按法定程序任免、地方法院经费省级统一管理的机制，探索实行法院司法行政事务管理权和审判权的相对分离</w:t>
      </w:r>
      <w:r w:rsidRPr="006444CF">
        <w:rPr>
          <w:rFonts w:ascii="Times New Roman" w:eastAsia="仿宋_GB2312" w:hint="eastAsia"/>
          <w:sz w:val="32"/>
          <w:szCs w:val="32"/>
        </w:rPr>
        <w:t>，从体制上确保人民法院依法独立公正行使审判权。</w:t>
      </w:r>
      <w:r w:rsidRPr="006444CF">
        <w:rPr>
          <w:rFonts w:ascii="楷体_GB2312" w:eastAsia="楷体_GB2312" w:hint="eastAsia"/>
          <w:b/>
          <w:sz w:val="32"/>
          <w:szCs w:val="32"/>
        </w:rPr>
        <w:t>保障机制上，</w:t>
      </w:r>
      <w:r w:rsidRPr="006444CF">
        <w:rPr>
          <w:rFonts w:ascii="Times New Roman" w:eastAsia="仿宋_GB2312" w:hint="eastAsia"/>
          <w:sz w:val="32"/>
          <w:szCs w:val="32"/>
        </w:rPr>
        <w:t>配合中央有关部门，推动建立领导干部干预审判执行活动、插手具体案件处理的记录、通报和责任追究制度，首次提出建立对于领导干部干预司法活动等信息依法提取、介质存储、专库录入、入卷存查机制，相关信息均应当存入案件正卷。</w:t>
      </w:r>
      <w:r w:rsidRPr="006444CF">
        <w:rPr>
          <w:rFonts w:ascii="Times New Roman" w:eastAsia="仿宋_GB2312" w:hAnsi="Times New Roman" w:hint="eastAsia"/>
          <w:sz w:val="32"/>
          <w:szCs w:val="32"/>
        </w:rPr>
        <w:t>健全法官履行法定职责保护机制，成立法官惩戒委员会，</w:t>
      </w:r>
      <w:r w:rsidRPr="006444CF">
        <w:rPr>
          <w:rFonts w:ascii="Times New Roman" w:eastAsia="仿宋_GB2312" w:hint="eastAsia"/>
          <w:sz w:val="32"/>
          <w:szCs w:val="32"/>
        </w:rPr>
        <w:t>制定公开、公正的法官惩戒程序</w:t>
      </w:r>
      <w:r w:rsidRPr="006444CF">
        <w:rPr>
          <w:rFonts w:ascii="Times New Roman" w:eastAsia="仿宋_GB2312" w:hAnsi="Times New Roman" w:hint="eastAsia"/>
          <w:sz w:val="32"/>
          <w:szCs w:val="32"/>
        </w:rPr>
        <w:t>。</w:t>
      </w:r>
    </w:p>
    <w:p w:rsidR="00A809F9" w:rsidRPr="006444CF" w:rsidRDefault="00A809F9" w:rsidP="006444CF">
      <w:pPr>
        <w:ind w:firstLineChars="200" w:firstLine="643"/>
        <w:rPr>
          <w:rFonts w:ascii="Times New Roman" w:eastAsia="仿宋_GB2312"/>
          <w:sz w:val="32"/>
          <w:szCs w:val="32"/>
        </w:rPr>
      </w:pPr>
      <w:r w:rsidRPr="006444CF">
        <w:rPr>
          <w:rFonts w:ascii="楷体_GB2312" w:eastAsia="楷体_GB2312" w:hAnsi="Times New Roman" w:hint="eastAsia"/>
          <w:b/>
          <w:sz w:val="32"/>
          <w:szCs w:val="32"/>
        </w:rPr>
        <w:t>第</w:t>
      </w:r>
      <w:r w:rsidR="000D3CA0" w:rsidRPr="006444CF">
        <w:rPr>
          <w:rFonts w:ascii="楷体_GB2312" w:eastAsia="楷体_GB2312" w:hAnsi="Times New Roman" w:hint="eastAsia"/>
          <w:b/>
          <w:sz w:val="32"/>
          <w:szCs w:val="32"/>
        </w:rPr>
        <w:t>二</w:t>
      </w:r>
      <w:r w:rsidRPr="006444CF">
        <w:rPr>
          <w:rFonts w:ascii="楷体_GB2312" w:eastAsia="楷体_GB2312" w:hAnsi="Times New Roman" w:hint="eastAsia"/>
          <w:b/>
          <w:sz w:val="32"/>
          <w:szCs w:val="32"/>
        </w:rPr>
        <w:t>，优化人民法院职权配置，进一步推动司法权科学运行。</w:t>
      </w:r>
      <w:r w:rsidRPr="006444CF">
        <w:rPr>
          <w:rFonts w:ascii="仿宋_GB2312" w:eastAsia="仿宋_GB2312" w:hAnsi="Times New Roman" w:hint="eastAsia"/>
          <w:sz w:val="32"/>
          <w:szCs w:val="32"/>
        </w:rPr>
        <w:t>科学合理配置司法职权，对于实现司法权力之间分工负责、互相配合、互相制约，确保司法机关依法独立行使职权、维护司法公正具有重要意义。十八届三中全会提出优化司法职权配置，四中全会进一步提出优化司法职权配置的重大举措。《意见》贯彻三中、四中全会精神，提出</w:t>
      </w:r>
      <w:r w:rsidRPr="006444CF">
        <w:rPr>
          <w:rFonts w:ascii="Times New Roman" w:eastAsia="仿宋_GB2312" w:hAnsi="Times New Roman" w:hint="eastAsia"/>
          <w:sz w:val="32"/>
          <w:szCs w:val="32"/>
        </w:rPr>
        <w:t>改革案件</w:t>
      </w:r>
      <w:r w:rsidRPr="006444CF">
        <w:rPr>
          <w:rFonts w:ascii="Times New Roman" w:eastAsia="仿宋_GB2312" w:hAnsi="Times New Roman" w:hint="eastAsia"/>
          <w:sz w:val="32"/>
          <w:szCs w:val="32"/>
        </w:rPr>
        <w:lastRenderedPageBreak/>
        <w:t>受理制度，</w:t>
      </w:r>
      <w:r w:rsidRPr="006444CF">
        <w:rPr>
          <w:rFonts w:ascii="Times New Roman" w:eastAsia="仿宋_GB2312" w:hint="eastAsia"/>
          <w:sz w:val="32"/>
          <w:szCs w:val="32"/>
        </w:rPr>
        <w:t>变立案审查制为立案登记制；完善审级制度，</w:t>
      </w:r>
      <w:r w:rsidRPr="006444CF">
        <w:rPr>
          <w:rFonts w:ascii="Times New Roman" w:eastAsia="仿宋_GB2312" w:hint="eastAsia"/>
          <w:kern w:val="0"/>
          <w:sz w:val="32"/>
          <w:szCs w:val="32"/>
        </w:rPr>
        <w:t>改革民商事案件级别管辖制度，逐步改变主要以诉讼标的额确定案件级别管</w:t>
      </w:r>
      <w:r w:rsidRPr="006444CF">
        <w:rPr>
          <w:rFonts w:ascii="Times New Roman" w:eastAsia="仿宋_GB2312" w:hint="eastAsia"/>
          <w:sz w:val="32"/>
          <w:szCs w:val="32"/>
        </w:rPr>
        <w:t>辖的做法；建立科学合理的案件质量评估体系，废止违反司法规律的考评指标和措施，取消任何形式的排名排序做法；</w:t>
      </w:r>
      <w:r w:rsidRPr="006444CF">
        <w:rPr>
          <w:rFonts w:ascii="Times New Roman" w:eastAsia="仿宋_GB2312" w:hAnsi="Times New Roman" w:hint="eastAsia"/>
          <w:sz w:val="32"/>
          <w:szCs w:val="32"/>
        </w:rPr>
        <w:t>深化执行体制改革，</w:t>
      </w:r>
      <w:r w:rsidRPr="006444CF">
        <w:rPr>
          <w:rFonts w:ascii="Times New Roman" w:eastAsia="仿宋_GB2312" w:hint="eastAsia"/>
          <w:sz w:val="32"/>
          <w:szCs w:val="32"/>
        </w:rPr>
        <w:t>推动实行审判权和执行权相分离的体制改革试点，推动将财产刑执行纳入统一的刑罚执行体制。</w:t>
      </w:r>
    </w:p>
    <w:p w:rsidR="00A809F9" w:rsidRPr="006444CF" w:rsidRDefault="00A809F9" w:rsidP="006444CF">
      <w:pPr>
        <w:ind w:firstLineChars="200" w:firstLine="643"/>
        <w:rPr>
          <w:rFonts w:ascii="Times New Roman" w:eastAsia="仿宋_GB2312"/>
          <w:sz w:val="32"/>
          <w:szCs w:val="32"/>
        </w:rPr>
      </w:pPr>
      <w:r w:rsidRPr="006444CF">
        <w:rPr>
          <w:rFonts w:ascii="楷体_GB2312" w:eastAsia="楷体_GB2312" w:hint="eastAsia"/>
          <w:b/>
          <w:sz w:val="32"/>
          <w:szCs w:val="32"/>
        </w:rPr>
        <w:t>第</w:t>
      </w:r>
      <w:r w:rsidR="000D3CA0" w:rsidRPr="006444CF">
        <w:rPr>
          <w:rFonts w:ascii="楷体_GB2312" w:eastAsia="楷体_GB2312" w:hint="eastAsia"/>
          <w:b/>
          <w:sz w:val="32"/>
          <w:szCs w:val="32"/>
        </w:rPr>
        <w:t>三</w:t>
      </w:r>
      <w:r w:rsidRPr="006444CF">
        <w:rPr>
          <w:rFonts w:ascii="楷体_GB2312" w:eastAsia="楷体_GB2312" w:hint="eastAsia"/>
          <w:b/>
          <w:sz w:val="32"/>
          <w:szCs w:val="32"/>
        </w:rPr>
        <w:t>，健全审判权力运行机制，落实司法责任制。</w:t>
      </w:r>
      <w:r w:rsidRPr="006444CF">
        <w:rPr>
          <w:rFonts w:ascii="仿宋_GB2312" w:eastAsia="仿宋_GB2312" w:hint="eastAsia"/>
          <w:sz w:val="32"/>
          <w:szCs w:val="32"/>
        </w:rPr>
        <w:t>完善以审判权为核心、以审判监督权和审判管理权为保障的审判权力运行机制，落实审判责任制，让审理者裁判、由裁判者负责，是本轮深化司法体制改革的关键任务。目前司法实践中一些地方司法行政化问题还比较突出，审者不判、判者不审、层层请示、层层审批，违背司法规律和审判运行规律。《意见》紧紧抓住审判权力运行机制这个关键，提出一系列改革举措促进司法为民公正司法。</w:t>
      </w:r>
      <w:r w:rsidRPr="006444CF">
        <w:rPr>
          <w:rFonts w:ascii="楷体_GB2312" w:eastAsia="楷体_GB2312" w:hint="eastAsia"/>
          <w:b/>
          <w:sz w:val="32"/>
          <w:szCs w:val="32"/>
        </w:rPr>
        <w:t>明确提出</w:t>
      </w:r>
      <w:r w:rsidRPr="006444CF">
        <w:rPr>
          <w:rFonts w:ascii="Times New Roman" w:eastAsia="仿宋_GB2312" w:hAnsi="Times New Roman" w:hint="eastAsia"/>
          <w:sz w:val="32"/>
          <w:szCs w:val="32"/>
        </w:rPr>
        <w:t>健全主审法官、合议庭办案机制和办案责任制，健全院、庭长审判管理和审判监督机制，改革审判委员会工作机制，要求审判委员会主要讨论案件的法律适用问题；</w:t>
      </w:r>
      <w:r w:rsidRPr="006444CF">
        <w:rPr>
          <w:rFonts w:ascii="Times New Roman" w:eastAsia="仿宋_GB2312" w:hAnsi="Times New Roman" w:hint="eastAsia"/>
          <w:color w:val="000000"/>
          <w:sz w:val="32"/>
          <w:szCs w:val="32"/>
        </w:rPr>
        <w:t>推进裁判文书说理改革</w:t>
      </w:r>
      <w:r w:rsidRPr="006444CF">
        <w:rPr>
          <w:rFonts w:ascii="Times New Roman" w:eastAsia="仿宋_GB2312" w:hAnsi="Times New Roman" w:hint="eastAsia"/>
          <w:sz w:val="32"/>
          <w:szCs w:val="32"/>
        </w:rPr>
        <w:t>；改革涉诉信访制度，</w:t>
      </w:r>
      <w:r w:rsidRPr="006444CF">
        <w:rPr>
          <w:rFonts w:ascii="Times New Roman" w:eastAsia="仿宋_GB2312" w:hint="eastAsia"/>
          <w:sz w:val="32"/>
          <w:szCs w:val="32"/>
        </w:rPr>
        <w:t>创新网络办理信访机制，推动建立申诉案件律师代理制度；</w:t>
      </w:r>
      <w:r w:rsidRPr="006444CF">
        <w:rPr>
          <w:rFonts w:ascii="楷体_GB2312" w:eastAsia="楷体_GB2312" w:hint="eastAsia"/>
          <w:b/>
          <w:sz w:val="32"/>
          <w:szCs w:val="32"/>
        </w:rPr>
        <w:t>明确提出</w:t>
      </w:r>
      <w:r w:rsidRPr="006444CF">
        <w:rPr>
          <w:rFonts w:ascii="仿宋_GB2312" w:eastAsia="仿宋_GB2312" w:hAnsi="Times New Roman" w:hint="eastAsia"/>
          <w:sz w:val="32"/>
          <w:szCs w:val="32"/>
        </w:rPr>
        <w:t>构建开放、动态、透明、便民的阳光司法机制</w:t>
      </w:r>
      <w:r w:rsidRPr="006444CF">
        <w:rPr>
          <w:rFonts w:ascii="Times New Roman" w:eastAsia="楷体_GB2312" w:hAnsi="Times New Roman" w:hint="eastAsia"/>
          <w:b/>
          <w:sz w:val="32"/>
          <w:szCs w:val="32"/>
        </w:rPr>
        <w:t>，</w:t>
      </w:r>
      <w:r w:rsidRPr="006444CF">
        <w:rPr>
          <w:rFonts w:ascii="Times New Roman" w:eastAsia="仿宋_GB2312" w:hAnsi="Times New Roman" w:hint="eastAsia"/>
          <w:sz w:val="32"/>
          <w:szCs w:val="32"/>
        </w:rPr>
        <w:t>完善审判流程、裁判文书、执行信息公开三大平台建设，推动实现全国法院统一平台统一公开信息；</w:t>
      </w:r>
      <w:r w:rsidRPr="006444CF">
        <w:rPr>
          <w:rFonts w:ascii="Times New Roman" w:eastAsia="仿宋_GB2312" w:hint="eastAsia"/>
          <w:sz w:val="32"/>
          <w:szCs w:val="32"/>
        </w:rPr>
        <w:t>完善</w:t>
      </w:r>
      <w:r w:rsidRPr="006444CF">
        <w:rPr>
          <w:rFonts w:ascii="Times New Roman" w:eastAsia="仿宋_GB2312" w:hint="eastAsia"/>
          <w:sz w:val="32"/>
          <w:szCs w:val="32"/>
        </w:rPr>
        <w:lastRenderedPageBreak/>
        <w:t>减刑、假释、暂予监外执行的适用条件和案件办理程序，建立减刑、假释、暂予监外执行信息网，实现三类案件的立案公示、庭审公告、文书公布统一在网上公开；</w:t>
      </w:r>
      <w:r w:rsidRPr="006444CF">
        <w:rPr>
          <w:rFonts w:ascii="楷体_GB2312" w:eastAsia="楷体_GB2312" w:hint="eastAsia"/>
          <w:b/>
          <w:sz w:val="32"/>
          <w:szCs w:val="32"/>
        </w:rPr>
        <w:t>明确提出</w:t>
      </w:r>
      <w:r w:rsidRPr="006444CF">
        <w:rPr>
          <w:rFonts w:ascii="Times New Roman" w:eastAsia="仿宋_GB2312" w:hAnsi="Times New Roman" w:hint="eastAsia"/>
          <w:sz w:val="32"/>
          <w:szCs w:val="32"/>
        </w:rPr>
        <w:t>以司法便民为目的，完善诉讼服务中心制度、人民法庭制度，</w:t>
      </w:r>
      <w:r w:rsidRPr="006444CF">
        <w:rPr>
          <w:rFonts w:ascii="Times New Roman" w:eastAsia="仿宋_GB2312" w:hint="eastAsia"/>
          <w:sz w:val="32"/>
          <w:szCs w:val="32"/>
        </w:rPr>
        <w:t>改革送达制度，探索推广信息化条件下的电子送达方式，继续推进多元化纠纷解决机制建设，推动构建系统、科学的多元化纠纷解决体系。</w:t>
      </w:r>
    </w:p>
    <w:p w:rsidR="000D3CA0" w:rsidRPr="006444CF" w:rsidRDefault="000D3CA0" w:rsidP="006444CF">
      <w:pPr>
        <w:ind w:firstLineChars="200" w:firstLine="643"/>
        <w:rPr>
          <w:rFonts w:ascii="Times New Roman" w:eastAsia="仿宋_GB2312" w:hAnsi="Times New Roman"/>
          <w:sz w:val="32"/>
          <w:szCs w:val="32"/>
        </w:rPr>
      </w:pPr>
      <w:r w:rsidRPr="006444CF">
        <w:rPr>
          <w:rFonts w:ascii="Times New Roman" w:eastAsia="楷体_GB2312" w:hAnsi="Times New Roman" w:hint="eastAsia"/>
          <w:b/>
          <w:sz w:val="32"/>
          <w:szCs w:val="32"/>
        </w:rPr>
        <w:t>第四，建立以审判为中心的诉讼制度，加强人权司法保障。</w:t>
      </w:r>
      <w:r w:rsidRPr="006444CF">
        <w:rPr>
          <w:rFonts w:ascii="仿宋_GB2312" w:eastAsia="仿宋_GB2312" w:hAnsi="Times New Roman" w:hint="eastAsia"/>
          <w:sz w:val="32"/>
          <w:szCs w:val="32"/>
        </w:rPr>
        <w:t>实行审判中心主义，充分发挥审判特别是庭审作用，加强人权保障，是现代诉讼和审判制度的重要原则。但从目前司法实践来看，审判对侦查、起诉的制约作用没有充分体现，人权司法保障力度有待加强。十八届四中全会明确提出推进以审判为中心的诉讼制度改革，反映了我们党对司法工作规律认识的进一步深化，为完善我国诉讼制度指明了方向。《意见》提出</w:t>
      </w:r>
      <w:r w:rsidRPr="006444CF">
        <w:rPr>
          <w:rFonts w:ascii="Times New Roman" w:eastAsia="仿宋_GB2312" w:hAnsi="Times New Roman" w:hint="eastAsia"/>
          <w:sz w:val="32"/>
          <w:szCs w:val="32"/>
        </w:rPr>
        <w:t>推动建立以审判为中心的诉讼制度，促使侦查、审查起诉活动始终围绕审判程序进行；强化庭审中心意识，保证庭审在查明事实、认定证据、保护诉权、公正裁判中发挥决定性作用；全面贯彻证据裁判原则，</w:t>
      </w:r>
      <w:r w:rsidRPr="006444CF">
        <w:rPr>
          <w:rFonts w:ascii="Times New Roman" w:eastAsia="仿宋_GB2312" w:hint="eastAsia"/>
          <w:sz w:val="32"/>
          <w:szCs w:val="32"/>
        </w:rPr>
        <w:t>严格实行非法证据排除规则；</w:t>
      </w:r>
      <w:r w:rsidRPr="006444CF">
        <w:rPr>
          <w:rFonts w:ascii="Times New Roman" w:eastAsia="仿宋_GB2312" w:hAnsi="Times New Roman" w:hint="eastAsia"/>
          <w:sz w:val="32"/>
          <w:szCs w:val="32"/>
        </w:rPr>
        <w:t>强化人权司法保障机制，</w:t>
      </w:r>
      <w:r w:rsidRPr="006444CF">
        <w:rPr>
          <w:rFonts w:eastAsia="仿宋_GB2312" w:hint="eastAsia"/>
          <w:sz w:val="32"/>
          <w:szCs w:val="32"/>
        </w:rPr>
        <w:t>禁止让刑事在押被告人或上诉人穿着识别服、马甲、囚服等具有监管机构标识的服装出庭受审；</w:t>
      </w:r>
      <w:r w:rsidRPr="006444CF">
        <w:rPr>
          <w:rFonts w:ascii="Times New Roman" w:eastAsia="仿宋_GB2312" w:hAnsi="Times New Roman" w:hint="eastAsia"/>
          <w:sz w:val="32"/>
          <w:szCs w:val="32"/>
        </w:rPr>
        <w:t>完善律师执业权利保障机制；健全冤假错案的有效防范、及时纠正机制。</w:t>
      </w:r>
    </w:p>
    <w:p w:rsidR="00A809F9" w:rsidRPr="006444CF" w:rsidRDefault="00A809F9" w:rsidP="006444CF">
      <w:pPr>
        <w:ind w:firstLineChars="200" w:firstLine="643"/>
        <w:rPr>
          <w:rFonts w:ascii="仿宋_GB2312" w:eastAsia="仿宋_GB2312" w:hAnsi="Times New Roman"/>
          <w:sz w:val="32"/>
          <w:szCs w:val="32"/>
        </w:rPr>
      </w:pPr>
      <w:r w:rsidRPr="006444CF">
        <w:rPr>
          <w:rFonts w:ascii="Times New Roman" w:eastAsia="楷体_GB2312" w:hAnsi="Times New Roman" w:hint="eastAsia"/>
          <w:b/>
          <w:sz w:val="32"/>
          <w:szCs w:val="32"/>
        </w:rPr>
        <w:lastRenderedPageBreak/>
        <w:t>第五，改革法院人事管理制度，推进法院人员的正规化、专业化、职业化建设。</w:t>
      </w:r>
      <w:r w:rsidRPr="006444CF">
        <w:rPr>
          <w:rFonts w:ascii="Times New Roman" w:eastAsia="仿宋_GB2312" w:hAnsi="Times New Roman" w:hint="eastAsia"/>
          <w:sz w:val="32"/>
          <w:szCs w:val="32"/>
        </w:rPr>
        <w:t>习近平总书记指出，建立符合司法职业特点的法院人员管理制度，在深化司法体制改革中居于基础性地位，是必须牵住的牛鼻子。长期以来，我国对法官沿用普通公务员管理模式，法官的选任、管理、考核、待遇均没有体现法官职业特点，也不符合法官队伍职业化建设需要。《意见》提出：</w:t>
      </w:r>
      <w:r w:rsidRPr="006444CF">
        <w:rPr>
          <w:rFonts w:ascii="Times New Roman" w:eastAsia="仿宋_GB2312" w:hint="eastAsia"/>
          <w:sz w:val="32"/>
          <w:szCs w:val="32"/>
        </w:rPr>
        <w:t>坚持以审判为中心、以法官为重心，全面推进法院人员的正规化、专业化、职业化建设。主要措施包括：</w:t>
      </w:r>
      <w:r w:rsidRPr="006444CF">
        <w:rPr>
          <w:rFonts w:ascii="楷体_GB2312" w:eastAsia="楷体_GB2312" w:hAnsi="Times New Roman" w:hint="eastAsia"/>
          <w:b/>
          <w:sz w:val="32"/>
          <w:szCs w:val="32"/>
        </w:rPr>
        <w:t>一是推动法院人员分类管理制度改革。</w:t>
      </w:r>
      <w:r w:rsidRPr="006444CF">
        <w:rPr>
          <w:rFonts w:ascii="Times New Roman" w:eastAsia="仿宋_GB2312" w:hAnsi="Times New Roman" w:hint="eastAsia"/>
          <w:sz w:val="32"/>
          <w:szCs w:val="32"/>
        </w:rPr>
        <w:t>建立符合职业特点的法官单独职务序列，健全审判辅助</w:t>
      </w:r>
      <w:r w:rsidRPr="006444CF">
        <w:rPr>
          <w:rFonts w:ascii="Times New Roman" w:eastAsia="仿宋_GB2312" w:hint="eastAsia"/>
          <w:sz w:val="32"/>
          <w:szCs w:val="32"/>
        </w:rPr>
        <w:t>人员管理制度，科学确定法官与审判辅助人员的数量比例，把法官从大量事务性工作中解放出来。</w:t>
      </w:r>
      <w:r w:rsidRPr="006444CF">
        <w:rPr>
          <w:rFonts w:ascii="楷体_GB2312" w:eastAsia="楷体_GB2312" w:hAnsi="Times New Roman" w:hint="eastAsia"/>
          <w:b/>
          <w:sz w:val="32"/>
          <w:szCs w:val="32"/>
        </w:rPr>
        <w:t>二是建立法官员额制度</w:t>
      </w:r>
      <w:r w:rsidRPr="006444CF">
        <w:rPr>
          <w:rFonts w:ascii="Times New Roman" w:eastAsia="仿宋_GB2312" w:hAnsi="Times New Roman" w:hint="eastAsia"/>
          <w:sz w:val="32"/>
          <w:szCs w:val="32"/>
        </w:rPr>
        <w:t>，</w:t>
      </w:r>
      <w:r w:rsidRPr="006444CF">
        <w:rPr>
          <w:rFonts w:ascii="Times New Roman" w:eastAsia="仿宋_GB2312" w:hint="eastAsia"/>
          <w:sz w:val="32"/>
          <w:szCs w:val="32"/>
        </w:rPr>
        <w:t>科学确定四级法院的法官员额，同时要求科学设置法官员额制改革过渡方案，确保优秀法官能留在审判一线。</w:t>
      </w:r>
      <w:r w:rsidRPr="006444CF">
        <w:rPr>
          <w:rFonts w:ascii="楷体_GB2312" w:eastAsia="楷体_GB2312" w:hAnsi="Times New Roman" w:hint="eastAsia"/>
          <w:b/>
          <w:sz w:val="32"/>
          <w:szCs w:val="32"/>
        </w:rPr>
        <w:t>三是</w:t>
      </w:r>
      <w:r w:rsidRPr="006444CF">
        <w:rPr>
          <w:rFonts w:ascii="楷体_GB2312" w:eastAsia="楷体_GB2312" w:hint="eastAsia"/>
          <w:b/>
          <w:sz w:val="32"/>
          <w:szCs w:val="32"/>
        </w:rPr>
        <w:t>改革法官选任制度</w:t>
      </w:r>
      <w:r w:rsidRPr="006444CF">
        <w:rPr>
          <w:rFonts w:ascii="Times New Roman" w:eastAsia="仿宋_GB2312" w:hint="eastAsia"/>
          <w:sz w:val="32"/>
          <w:szCs w:val="32"/>
        </w:rPr>
        <w:t>，在国家和省一级分别设立由法官代表和社会有关人员参与的法官遴选委员会，制定公开、公平、公正的选任程序，确保品行端正、经验丰富、专业水平较高的优秀法律人才成为法官人选，实现法官遴选机制与法定任免机制的有效衔接。健全初任法官由高级人民法院统一招录，一律在基层人民法院任职，上级法院法官原则上从下一级法院遴选产生的工作机制。拓宽法官选任渠道，吸引更多优秀法律人才。</w:t>
      </w:r>
      <w:r w:rsidRPr="006444CF">
        <w:rPr>
          <w:rFonts w:ascii="仿宋_GB2312" w:eastAsia="仿宋_GB2312" w:hAnsi="Times New Roman" w:hint="eastAsia"/>
          <w:sz w:val="32"/>
          <w:szCs w:val="32"/>
        </w:rPr>
        <w:t>此外，《意见》还就</w:t>
      </w:r>
      <w:r w:rsidRPr="006444CF">
        <w:rPr>
          <w:rFonts w:ascii="仿宋_GB2312" w:eastAsia="仿宋_GB2312" w:hint="eastAsia"/>
          <w:sz w:val="32"/>
          <w:szCs w:val="32"/>
        </w:rPr>
        <w:t>完善法官业绩评价体系、在职培训机制和工资制度提出</w:t>
      </w:r>
      <w:r w:rsidRPr="006444CF">
        <w:rPr>
          <w:rFonts w:ascii="仿宋_GB2312" w:eastAsia="仿宋_GB2312" w:hint="eastAsia"/>
          <w:sz w:val="32"/>
          <w:szCs w:val="32"/>
        </w:rPr>
        <w:lastRenderedPageBreak/>
        <w:t>了要求。</w:t>
      </w:r>
    </w:p>
    <w:p w:rsidR="00A809F9" w:rsidRPr="006444CF" w:rsidRDefault="00A809F9" w:rsidP="006444CF">
      <w:pPr>
        <w:ind w:firstLineChars="200" w:firstLine="640"/>
        <w:rPr>
          <w:rFonts w:ascii="Times New Roman" w:eastAsia="黑体" w:hAnsi="Times New Roman"/>
          <w:sz w:val="32"/>
          <w:szCs w:val="32"/>
        </w:rPr>
      </w:pPr>
      <w:r w:rsidRPr="006444CF">
        <w:rPr>
          <w:rFonts w:ascii="Times New Roman" w:eastAsia="黑体" w:hAnsi="Times New Roman" w:hint="eastAsia"/>
          <w:sz w:val="32"/>
          <w:szCs w:val="32"/>
        </w:rPr>
        <w:t>四、《意见》的落实和推进</w:t>
      </w:r>
    </w:p>
    <w:p w:rsidR="00A809F9" w:rsidRPr="006444CF" w:rsidRDefault="00A809F9" w:rsidP="00A809F9">
      <w:pPr>
        <w:ind w:firstLine="640"/>
        <w:rPr>
          <w:rFonts w:ascii="Times New Roman" w:eastAsia="仿宋_GB2312" w:hAnsi="Times New Roman"/>
          <w:sz w:val="32"/>
          <w:szCs w:val="32"/>
        </w:rPr>
      </w:pPr>
      <w:r w:rsidRPr="006444CF">
        <w:rPr>
          <w:rFonts w:ascii="Times New Roman" w:eastAsia="仿宋_GB2312" w:hAnsi="Times New Roman" w:hint="eastAsia"/>
          <w:sz w:val="32"/>
          <w:szCs w:val="32"/>
        </w:rPr>
        <w:t>《意见》发布后，最高人民法院将配套推出贯彻实施分工方案，明确各项改革措施的牵头部门和参加部门，建立情况通报、督导检查、评估总结制度，实行台账式督办和项目式管理，做到每项改革任务都有布置、有督促、有检查，确保各项任务不折不扣完成。由周强院长担任组长的最高人民法院司法改革领导小组将负责研究确定《意见》实施过程中的年度改革要点、审议重大改革方案、听取进度汇报、讨论重大问题。最高人民法院司法改革领导小组办公室作为具体办事机构，负责《意见》的组织协调、实施推进、试点管理、督促检查和评估总结工作，并及时向中央全面深化改革领导小组办公室、中央司法改革领导小组办公室报告改革进展、请示重要事项。</w:t>
      </w:r>
    </w:p>
    <w:p w:rsidR="00A809F9" w:rsidRPr="006444CF" w:rsidRDefault="00A809F9" w:rsidP="00A809F9">
      <w:pPr>
        <w:ind w:firstLine="640"/>
        <w:rPr>
          <w:rFonts w:ascii="Times New Roman" w:eastAsia="仿宋_GB2312" w:hAnsi="Times New Roman"/>
          <w:sz w:val="32"/>
          <w:szCs w:val="32"/>
        </w:rPr>
      </w:pPr>
      <w:r w:rsidRPr="006444CF">
        <w:rPr>
          <w:rFonts w:ascii="Times New Roman" w:eastAsia="仿宋_GB2312" w:hAnsi="Times New Roman" w:hint="eastAsia"/>
          <w:sz w:val="32"/>
          <w:szCs w:val="32"/>
        </w:rPr>
        <w:t>谢谢大家。</w:t>
      </w:r>
    </w:p>
    <w:p w:rsidR="00A809F9" w:rsidRPr="006444CF" w:rsidRDefault="00A809F9" w:rsidP="00A809F9">
      <w:pPr>
        <w:ind w:firstLine="630"/>
        <w:jc w:val="left"/>
        <w:rPr>
          <w:rFonts w:ascii="仿宋_GB2312" w:eastAsia="仿宋_GB2312" w:hAnsi="华文中宋"/>
          <w:sz w:val="32"/>
          <w:szCs w:val="32"/>
        </w:rPr>
      </w:pPr>
    </w:p>
    <w:p w:rsidR="00A809F9" w:rsidRPr="006444CF" w:rsidRDefault="00A809F9" w:rsidP="00A809F9">
      <w:pPr>
        <w:ind w:firstLineChars="196" w:firstLine="630"/>
        <w:rPr>
          <w:rFonts w:eastAsia="楷体_GB2312"/>
          <w:b/>
          <w:sz w:val="32"/>
          <w:szCs w:val="32"/>
        </w:rPr>
      </w:pPr>
    </w:p>
    <w:p w:rsidR="00AE6B83" w:rsidRPr="006444CF" w:rsidRDefault="00AE6B83">
      <w:pPr>
        <w:rPr>
          <w:sz w:val="32"/>
          <w:szCs w:val="32"/>
        </w:rPr>
      </w:pPr>
    </w:p>
    <w:sectPr w:rsidR="00AE6B83" w:rsidRPr="006444CF" w:rsidSect="000F6F58">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F3D" w:rsidRDefault="00D72F3D" w:rsidP="00A809F9">
      <w:r>
        <w:separator/>
      </w:r>
    </w:p>
  </w:endnote>
  <w:endnote w:type="continuationSeparator" w:id="1">
    <w:p w:rsidR="00D72F3D" w:rsidRDefault="00D72F3D" w:rsidP="00A809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4719"/>
      <w:docPartObj>
        <w:docPartGallery w:val="Page Numbers (Bottom of Page)"/>
        <w:docPartUnique/>
      </w:docPartObj>
    </w:sdtPr>
    <w:sdtContent>
      <w:p w:rsidR="001A371E" w:rsidRDefault="00A26D2C">
        <w:pPr>
          <w:pStyle w:val="a4"/>
          <w:jc w:val="center"/>
        </w:pPr>
        <w:fldSimple w:instr=" PAGE   \* MERGEFORMAT ">
          <w:r w:rsidR="002C0620" w:rsidRPr="002C0620">
            <w:rPr>
              <w:noProof/>
              <w:lang w:val="zh-CN"/>
            </w:rPr>
            <w:t>1</w:t>
          </w:r>
        </w:fldSimple>
      </w:p>
    </w:sdtContent>
  </w:sdt>
  <w:p w:rsidR="001A371E" w:rsidRDefault="001A371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F3D" w:rsidRDefault="00D72F3D" w:rsidP="00A809F9">
      <w:r>
        <w:separator/>
      </w:r>
    </w:p>
  </w:footnote>
  <w:footnote w:type="continuationSeparator" w:id="1">
    <w:p w:rsidR="00D72F3D" w:rsidRDefault="00D72F3D" w:rsidP="00A80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71E" w:rsidRDefault="001A371E" w:rsidP="000D3CA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09F9"/>
    <w:rsid w:val="0005668A"/>
    <w:rsid w:val="0009463E"/>
    <w:rsid w:val="000D3CA0"/>
    <w:rsid w:val="000F6F58"/>
    <w:rsid w:val="001A371E"/>
    <w:rsid w:val="002572CF"/>
    <w:rsid w:val="002C0620"/>
    <w:rsid w:val="00396E28"/>
    <w:rsid w:val="003F3B2D"/>
    <w:rsid w:val="00486DFD"/>
    <w:rsid w:val="004D24D2"/>
    <w:rsid w:val="004E0E7A"/>
    <w:rsid w:val="0054127F"/>
    <w:rsid w:val="006444CF"/>
    <w:rsid w:val="006C3799"/>
    <w:rsid w:val="008175D4"/>
    <w:rsid w:val="009A6B08"/>
    <w:rsid w:val="00A26D2C"/>
    <w:rsid w:val="00A809F9"/>
    <w:rsid w:val="00AD2C13"/>
    <w:rsid w:val="00AE6B83"/>
    <w:rsid w:val="00CA41E9"/>
    <w:rsid w:val="00D72F3D"/>
    <w:rsid w:val="00DF1D1D"/>
    <w:rsid w:val="00E610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9F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09F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809F9"/>
    <w:rPr>
      <w:sz w:val="18"/>
      <w:szCs w:val="18"/>
    </w:rPr>
  </w:style>
  <w:style w:type="paragraph" w:styleId="a4">
    <w:name w:val="footer"/>
    <w:basedOn w:val="a"/>
    <w:link w:val="Char0"/>
    <w:uiPriority w:val="99"/>
    <w:unhideWhenUsed/>
    <w:rsid w:val="00A809F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809F9"/>
    <w:rPr>
      <w:sz w:val="18"/>
      <w:szCs w:val="18"/>
    </w:rPr>
  </w:style>
  <w:style w:type="paragraph" w:styleId="a5">
    <w:name w:val="Plain Text"/>
    <w:basedOn w:val="a"/>
    <w:link w:val="Char1"/>
    <w:semiHidden/>
    <w:unhideWhenUsed/>
    <w:rsid w:val="00A809F9"/>
    <w:rPr>
      <w:rFonts w:ascii="宋体" w:hAnsi="Courier New"/>
      <w:color w:val="000000"/>
      <w:kern w:val="28"/>
      <w:szCs w:val="21"/>
    </w:rPr>
  </w:style>
  <w:style w:type="character" w:customStyle="1" w:styleId="Char2">
    <w:name w:val="纯文本 Char"/>
    <w:basedOn w:val="a0"/>
    <w:link w:val="a5"/>
    <w:uiPriority w:val="99"/>
    <w:semiHidden/>
    <w:rsid w:val="00A809F9"/>
    <w:rPr>
      <w:rFonts w:ascii="宋体" w:eastAsia="宋体" w:hAnsi="Courier New" w:cs="Courier New"/>
      <w:szCs w:val="21"/>
    </w:rPr>
  </w:style>
  <w:style w:type="character" w:customStyle="1" w:styleId="Char1">
    <w:name w:val="纯文本 Char1"/>
    <w:basedOn w:val="a0"/>
    <w:link w:val="a5"/>
    <w:semiHidden/>
    <w:locked/>
    <w:rsid w:val="00A809F9"/>
    <w:rPr>
      <w:rFonts w:ascii="宋体" w:eastAsia="宋体" w:hAnsi="Courier New" w:cs="Times New Roman"/>
      <w:color w:val="000000"/>
      <w:kern w:val="28"/>
      <w:szCs w:val="21"/>
    </w:rPr>
  </w:style>
</w:styles>
</file>

<file path=word/webSettings.xml><?xml version="1.0" encoding="utf-8"?>
<w:webSettings xmlns:r="http://schemas.openxmlformats.org/officeDocument/2006/relationships" xmlns:w="http://schemas.openxmlformats.org/wordprocessingml/2006/main">
  <w:divs>
    <w:div w:id="19792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685</Words>
  <Characters>3908</Characters>
  <Application>Microsoft Office Word</Application>
  <DocSecurity>0</DocSecurity>
  <Lines>32</Lines>
  <Paragraphs>9</Paragraphs>
  <ScaleCrop>false</ScaleCrop>
  <Company>Lenovo (Beijing) Limited</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马渊杰,nu</dc:creator>
  <cp:keywords/>
  <dc:description/>
  <cp:lastModifiedBy>微软中国</cp:lastModifiedBy>
  <cp:revision>7</cp:revision>
  <cp:lastPrinted>2015-02-25T08:33:00Z</cp:lastPrinted>
  <dcterms:created xsi:type="dcterms:W3CDTF">2015-02-25T08:29:00Z</dcterms:created>
  <dcterms:modified xsi:type="dcterms:W3CDTF">2015-02-26T06:43:00Z</dcterms:modified>
</cp:coreProperties>
</file>