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90" w:rsidRPr="00C76C46" w:rsidRDefault="00480790" w:rsidP="00480790">
      <w:pPr>
        <w:adjustRightInd w:val="0"/>
        <w:spacing w:line="360" w:lineRule="atLeast"/>
        <w:jc w:val="left"/>
        <w:textAlignment w:val="baseline"/>
        <w:rPr>
          <w:rFonts w:ascii="黑体" w:eastAsia="黑体" w:hAnsi="黑体" w:hint="eastAsia"/>
          <w:kern w:val="0"/>
          <w:sz w:val="32"/>
          <w:szCs w:val="32"/>
        </w:rPr>
      </w:pPr>
      <w:r w:rsidRPr="00C76C46"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480790" w:rsidRPr="00E63E46" w:rsidRDefault="00480790" w:rsidP="00480790">
      <w:pPr>
        <w:adjustRightInd w:val="0"/>
        <w:spacing w:line="360" w:lineRule="atLeast"/>
        <w:jc w:val="left"/>
        <w:textAlignment w:val="baseline"/>
        <w:rPr>
          <w:rFonts w:ascii="Times New Roman" w:eastAsia="仿宋_GB2312" w:hAnsi="Times New Roman" w:hint="eastAsia"/>
          <w:kern w:val="0"/>
          <w:sz w:val="36"/>
          <w:szCs w:val="36"/>
        </w:rPr>
      </w:pPr>
    </w:p>
    <w:p w:rsidR="00480790" w:rsidRPr="00E63E46" w:rsidRDefault="00480790" w:rsidP="00480790">
      <w:pPr>
        <w:adjustRightInd w:val="0"/>
        <w:spacing w:line="360" w:lineRule="atLeast"/>
        <w:jc w:val="center"/>
        <w:textAlignment w:val="baseline"/>
        <w:rPr>
          <w:rFonts w:ascii="仿宋_GB2312" w:eastAsia="仿宋_GB2312" w:cs="仿宋_GB2312" w:hint="eastAsia"/>
          <w:sz w:val="36"/>
          <w:szCs w:val="36"/>
        </w:rPr>
      </w:pPr>
      <w:r w:rsidRPr="004E1F10">
        <w:rPr>
          <w:rFonts w:ascii="方正小标宋简体" w:eastAsia="方正小标宋简体" w:cs="仿宋_GB2312" w:hint="eastAsia"/>
          <w:sz w:val="36"/>
          <w:szCs w:val="36"/>
        </w:rPr>
        <w:t>第二批法律研修学者研修项目清单</w:t>
      </w:r>
    </w:p>
    <w:p w:rsidR="00480790" w:rsidRDefault="00480790" w:rsidP="00480790">
      <w:pPr>
        <w:adjustRightInd w:val="0"/>
        <w:spacing w:line="360" w:lineRule="atLeast"/>
        <w:jc w:val="left"/>
        <w:textAlignment w:val="baseline"/>
        <w:rPr>
          <w:rFonts w:ascii="仿宋_GB2312" w:eastAsia="仿宋_GB2312" w:cs="仿宋_GB2312" w:hint="eastAsia"/>
          <w:sz w:val="36"/>
          <w:szCs w:val="36"/>
        </w:rPr>
      </w:pP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F4AE1">
        <w:rPr>
          <w:rFonts w:ascii="仿宋_GB2312" w:eastAsia="仿宋_GB2312" w:hint="eastAsia"/>
          <w:sz w:val="32"/>
          <w:szCs w:val="32"/>
        </w:rPr>
        <w:t>法官培养机制问题研究</w:t>
      </w: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2.滥用诉权问题的规制研究</w:t>
      </w: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3.刑事庭审实质化问题研究</w:t>
      </w: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4.“僵尸企业”破产法律问题研究</w:t>
      </w: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5.中国知识产权司法保护战略研究</w:t>
      </w: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6.我国海洋维权司法对策研究</w:t>
      </w: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7.行政协议案件审理中的疑难问题研究</w:t>
      </w: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8.刑事申诉诉讼化改造问题研究</w:t>
      </w:r>
    </w:p>
    <w:p w:rsidR="00480790" w:rsidRPr="00FF4AE1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9.完善最高人民法院巡回法庭体制和工作机制研究</w:t>
      </w:r>
    </w:p>
    <w:p w:rsidR="00480790" w:rsidRDefault="00480790" w:rsidP="00480790">
      <w:pPr>
        <w:adjustRightInd w:val="0"/>
        <w:spacing w:line="360" w:lineRule="atLeas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 w:rsidRPr="00FF4AE1">
        <w:rPr>
          <w:rFonts w:ascii="仿宋_GB2312" w:eastAsia="仿宋_GB2312" w:hint="eastAsia"/>
          <w:sz w:val="32"/>
          <w:szCs w:val="32"/>
        </w:rPr>
        <w:t>10.四级法院职能定位及审级制度完善研究</w:t>
      </w:r>
    </w:p>
    <w:p w:rsidR="00480790" w:rsidRPr="00BC6817" w:rsidRDefault="00480790" w:rsidP="00480790"/>
    <w:p w:rsidR="00CB0115" w:rsidRDefault="00CB0115"/>
    <w:sectPr w:rsidR="00CB0115" w:rsidSect="00D64A7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FC4" w:rsidRDefault="003B3FC4" w:rsidP="00480790">
      <w:r>
        <w:separator/>
      </w:r>
    </w:p>
  </w:endnote>
  <w:endnote w:type="continuationSeparator" w:id="0">
    <w:p w:rsidR="003B3FC4" w:rsidRDefault="003B3FC4" w:rsidP="00480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46" w:rsidRDefault="003B3FC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0790" w:rsidRPr="00480790">
      <w:rPr>
        <w:noProof/>
        <w:lang w:val="zh-CN"/>
      </w:rPr>
      <w:t>1</w:t>
    </w:r>
    <w:r>
      <w:fldChar w:fldCharType="end"/>
    </w:r>
  </w:p>
  <w:p w:rsidR="00C76C46" w:rsidRDefault="003B3F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FC4" w:rsidRDefault="003B3FC4" w:rsidP="00480790">
      <w:r>
        <w:separator/>
      </w:r>
    </w:p>
  </w:footnote>
  <w:footnote w:type="continuationSeparator" w:id="0">
    <w:p w:rsidR="003B3FC4" w:rsidRDefault="003B3FC4" w:rsidP="00480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FD" w:rsidRDefault="003B3FC4" w:rsidP="000A2F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790"/>
    <w:rsid w:val="003B3FC4"/>
    <w:rsid w:val="00480790"/>
    <w:rsid w:val="00CB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7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2016-10-31T07:23:00Z</dcterms:created>
  <dcterms:modified xsi:type="dcterms:W3CDTF">2016-10-31T07:23:00Z</dcterms:modified>
</cp:coreProperties>
</file>