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EB" w:rsidRDefault="002B7CEB" w:rsidP="002B7CEB">
      <w:pPr>
        <w:spacing w:line="56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最高人民法院</w:t>
      </w:r>
      <w:r w:rsidRPr="007E2B41">
        <w:rPr>
          <w:rFonts w:ascii="方正小标宋简体" w:eastAsia="方正小标宋简体" w:hAnsi="黑体" w:hint="eastAsia"/>
          <w:sz w:val="36"/>
          <w:szCs w:val="36"/>
        </w:rPr>
        <w:t>2018年度司法研究重大课题题目</w:t>
      </w:r>
    </w:p>
    <w:p w:rsidR="002B7CEB" w:rsidRDefault="002B7CEB" w:rsidP="002B7CEB">
      <w:pPr>
        <w:spacing w:line="560" w:lineRule="exact"/>
        <w:jc w:val="center"/>
        <w:rPr>
          <w:rFonts w:ascii="方正小标宋简体" w:eastAsia="方正小标宋简体" w:hAnsi="黑体"/>
          <w:sz w:val="36"/>
          <w:szCs w:val="36"/>
        </w:rPr>
      </w:pPr>
      <w:r w:rsidRPr="007E2B41">
        <w:rPr>
          <w:rFonts w:ascii="方正小标宋简体" w:eastAsia="方正小标宋简体" w:hAnsi="黑体" w:hint="eastAsia"/>
          <w:sz w:val="36"/>
          <w:szCs w:val="36"/>
        </w:rPr>
        <w:t>及研究重点</w:t>
      </w:r>
    </w:p>
    <w:p w:rsidR="002B7CEB" w:rsidRPr="007E2B41" w:rsidRDefault="002B7CEB" w:rsidP="002B7CEB">
      <w:pPr>
        <w:spacing w:line="560" w:lineRule="exact"/>
        <w:jc w:val="center"/>
        <w:rPr>
          <w:rFonts w:ascii="方正小标宋简体" w:eastAsia="方正小标宋简体" w:hAnsi="黑体"/>
          <w:sz w:val="36"/>
          <w:szCs w:val="36"/>
        </w:rPr>
      </w:pP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4"/>
        <w:gridCol w:w="5812"/>
      </w:tblGrid>
      <w:tr w:rsidR="002B7CEB" w:rsidRPr="00706C0D" w:rsidTr="00AA169C">
        <w:trPr>
          <w:trHeight w:val="540"/>
        </w:trPr>
        <w:tc>
          <w:tcPr>
            <w:tcW w:w="3134" w:type="dxa"/>
            <w:shd w:val="clear" w:color="auto" w:fill="auto"/>
            <w:vAlign w:val="center"/>
            <w:hideMark/>
          </w:tcPr>
          <w:p w:rsidR="002B7CEB" w:rsidRPr="00EB6AC8" w:rsidRDefault="002B7CEB" w:rsidP="00AA169C">
            <w:pPr>
              <w:jc w:val="center"/>
              <w:rPr>
                <w:rFonts w:ascii="黑体" w:eastAsia="黑体" w:hAnsi="黑体" w:cs="宋体"/>
                <w:kern w:val="0"/>
                <w:sz w:val="28"/>
                <w:szCs w:val="28"/>
              </w:rPr>
            </w:pPr>
            <w:r w:rsidRPr="00EB6AC8">
              <w:rPr>
                <w:rFonts w:ascii="黑体" w:eastAsia="黑体" w:hAnsi="黑体" w:cs="宋体" w:hint="eastAsia"/>
                <w:kern w:val="0"/>
                <w:sz w:val="28"/>
                <w:szCs w:val="28"/>
              </w:rPr>
              <w:t>选题题目</w:t>
            </w:r>
          </w:p>
        </w:tc>
        <w:tc>
          <w:tcPr>
            <w:tcW w:w="5812" w:type="dxa"/>
            <w:shd w:val="clear" w:color="auto" w:fill="auto"/>
            <w:vAlign w:val="center"/>
            <w:hideMark/>
          </w:tcPr>
          <w:p w:rsidR="002B7CEB" w:rsidRPr="00EB6AC8" w:rsidRDefault="002B7CEB" w:rsidP="00AA169C">
            <w:pPr>
              <w:jc w:val="center"/>
              <w:rPr>
                <w:rFonts w:ascii="黑体" w:eastAsia="黑体" w:hAnsi="黑体" w:cs="宋体"/>
                <w:kern w:val="0"/>
                <w:sz w:val="28"/>
                <w:szCs w:val="28"/>
              </w:rPr>
            </w:pPr>
            <w:r w:rsidRPr="00EB6AC8">
              <w:rPr>
                <w:rFonts w:ascii="黑体" w:eastAsia="黑体" w:hAnsi="黑体" w:cs="宋体" w:hint="eastAsia"/>
                <w:kern w:val="0"/>
                <w:sz w:val="28"/>
                <w:szCs w:val="28"/>
              </w:rPr>
              <w:t>研究重点</w:t>
            </w:r>
          </w:p>
        </w:tc>
      </w:tr>
      <w:tr w:rsidR="002B7CEB" w:rsidRPr="00706C0D" w:rsidTr="00AA169C">
        <w:trPr>
          <w:trHeight w:val="1325"/>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sidRPr="00706C0D">
              <w:rPr>
                <w:rFonts w:ascii="宋体" w:hAnsi="宋体" w:cs="宋体" w:hint="eastAsia"/>
                <w:bCs/>
                <w:color w:val="000000"/>
                <w:kern w:val="0"/>
                <w:sz w:val="28"/>
                <w:szCs w:val="28"/>
              </w:rPr>
              <w:t>1.人民法院贯彻落</w:t>
            </w:r>
            <w:proofErr w:type="gramStart"/>
            <w:r w:rsidRPr="00706C0D">
              <w:rPr>
                <w:rFonts w:ascii="宋体" w:hAnsi="宋体" w:cs="宋体" w:hint="eastAsia"/>
                <w:bCs/>
                <w:color w:val="000000"/>
                <w:kern w:val="0"/>
                <w:sz w:val="28"/>
                <w:szCs w:val="28"/>
              </w:rPr>
              <w:t>实习近</w:t>
            </w:r>
            <w:proofErr w:type="gramEnd"/>
            <w:r w:rsidRPr="00706C0D">
              <w:rPr>
                <w:rFonts w:ascii="宋体" w:hAnsi="宋体" w:cs="宋体" w:hint="eastAsia"/>
                <w:bCs/>
                <w:color w:val="000000"/>
                <w:kern w:val="0"/>
                <w:sz w:val="28"/>
                <w:szCs w:val="28"/>
              </w:rPr>
              <w:t>平新时代中国特色社会主义思想研究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人民法院贯彻落</w:t>
            </w:r>
            <w:proofErr w:type="gramStart"/>
            <w:r w:rsidRPr="00706C0D">
              <w:rPr>
                <w:rFonts w:ascii="宋体" w:hAnsi="宋体" w:cs="宋体" w:hint="eastAsia"/>
                <w:color w:val="000000"/>
                <w:kern w:val="0"/>
                <w:sz w:val="28"/>
                <w:szCs w:val="28"/>
              </w:rPr>
              <w:t>实习近</w:t>
            </w:r>
            <w:proofErr w:type="gramEnd"/>
            <w:r w:rsidRPr="00706C0D">
              <w:rPr>
                <w:rFonts w:ascii="宋体" w:hAnsi="宋体" w:cs="宋体" w:hint="eastAsia"/>
                <w:color w:val="000000"/>
                <w:kern w:val="0"/>
                <w:sz w:val="28"/>
                <w:szCs w:val="28"/>
              </w:rPr>
              <w:t>平新时代中国特色社会主义思想的重大意义、着力点、工作重点及相关工作机制建设</w:t>
            </w:r>
          </w:p>
        </w:tc>
      </w:tr>
      <w:tr w:rsidR="002B7CEB" w:rsidRPr="00EB6AC8" w:rsidTr="00AA169C">
        <w:trPr>
          <w:trHeight w:val="1259"/>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sidRPr="00706C0D">
              <w:rPr>
                <w:rFonts w:ascii="宋体" w:hAnsi="宋体" w:cs="宋体" w:hint="eastAsia"/>
                <w:bCs/>
                <w:color w:val="000000"/>
                <w:kern w:val="0"/>
                <w:sz w:val="28"/>
                <w:szCs w:val="28"/>
              </w:rPr>
              <w:t>2.人民法院通过司法裁判弘扬社会主义核心价值观研究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弘扬社会主义核心价值观的典型案件分布、经验总结、裁判文书</w:t>
            </w:r>
            <w:r>
              <w:rPr>
                <w:rFonts w:ascii="宋体" w:hAnsi="宋体" w:cs="宋体" w:hint="eastAsia"/>
                <w:color w:val="000000"/>
                <w:kern w:val="0"/>
                <w:sz w:val="28"/>
                <w:szCs w:val="28"/>
              </w:rPr>
              <w:t>说理</w:t>
            </w:r>
            <w:r w:rsidRPr="00706C0D">
              <w:rPr>
                <w:rFonts w:ascii="宋体" w:hAnsi="宋体" w:cs="宋体" w:hint="eastAsia"/>
                <w:color w:val="000000"/>
                <w:kern w:val="0"/>
                <w:sz w:val="28"/>
                <w:szCs w:val="28"/>
              </w:rPr>
              <w:t>以及典型案件发现、宣传、指导等工作机制建设。</w:t>
            </w:r>
          </w:p>
        </w:tc>
      </w:tr>
      <w:tr w:rsidR="002B7CEB" w:rsidRPr="00706C0D" w:rsidTr="00AA169C">
        <w:trPr>
          <w:trHeight w:val="852"/>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Pr>
                <w:rFonts w:ascii="宋体" w:hAnsi="宋体" w:cs="宋体" w:hint="eastAsia"/>
                <w:bCs/>
                <w:color w:val="000000"/>
                <w:kern w:val="0"/>
                <w:sz w:val="28"/>
                <w:szCs w:val="28"/>
              </w:rPr>
              <w:t>3</w:t>
            </w:r>
            <w:r w:rsidRPr="00706C0D">
              <w:rPr>
                <w:rFonts w:ascii="宋体" w:hAnsi="宋体" w:cs="宋体" w:hint="eastAsia"/>
                <w:bCs/>
                <w:color w:val="000000"/>
                <w:kern w:val="0"/>
                <w:sz w:val="28"/>
                <w:szCs w:val="28"/>
              </w:rPr>
              <w:t>.乡村振兴战略实施司法保障机制研究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人民法院服务保障乡村振兴战略实施的工作重点及工作机制建设</w:t>
            </w:r>
          </w:p>
        </w:tc>
      </w:tr>
      <w:tr w:rsidR="002B7CEB" w:rsidRPr="00706C0D" w:rsidTr="00AA169C">
        <w:trPr>
          <w:trHeight w:val="1008"/>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Pr>
                <w:rFonts w:ascii="宋体" w:hAnsi="宋体" w:cs="宋体" w:hint="eastAsia"/>
                <w:bCs/>
                <w:color w:val="000000"/>
                <w:kern w:val="0"/>
                <w:sz w:val="28"/>
                <w:szCs w:val="28"/>
              </w:rPr>
              <w:t>4</w:t>
            </w:r>
            <w:r w:rsidRPr="00706C0D">
              <w:rPr>
                <w:rFonts w:ascii="宋体" w:hAnsi="宋体" w:cs="宋体" w:hint="eastAsia"/>
                <w:bCs/>
                <w:color w:val="000000"/>
                <w:kern w:val="0"/>
                <w:sz w:val="28"/>
                <w:szCs w:val="28"/>
              </w:rPr>
              <w:t>.粤港澳大湾区</w:t>
            </w:r>
            <w:r>
              <w:rPr>
                <w:rFonts w:ascii="宋体" w:hAnsi="宋体" w:cs="宋体" w:hint="eastAsia"/>
                <w:bCs/>
                <w:color w:val="000000"/>
                <w:kern w:val="0"/>
                <w:sz w:val="28"/>
                <w:szCs w:val="28"/>
              </w:rPr>
              <w:t>建设</w:t>
            </w:r>
            <w:r w:rsidRPr="00706C0D">
              <w:rPr>
                <w:rFonts w:ascii="宋体" w:hAnsi="宋体" w:cs="宋体" w:hint="eastAsia"/>
                <w:bCs/>
                <w:color w:val="000000"/>
                <w:kern w:val="0"/>
                <w:sz w:val="28"/>
                <w:szCs w:val="28"/>
              </w:rPr>
              <w:t>司法保障问题研究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粤港澳大湾区建设面临的主要法律问题、人民法院的职能作用及</w:t>
            </w:r>
            <w:r>
              <w:rPr>
                <w:rFonts w:ascii="宋体" w:hAnsi="宋体" w:cs="宋体" w:hint="eastAsia"/>
                <w:color w:val="000000"/>
                <w:kern w:val="0"/>
                <w:sz w:val="28"/>
                <w:szCs w:val="28"/>
              </w:rPr>
              <w:t>工作</w:t>
            </w:r>
            <w:r w:rsidRPr="00706C0D">
              <w:rPr>
                <w:rFonts w:ascii="宋体" w:hAnsi="宋体" w:cs="宋体" w:hint="eastAsia"/>
                <w:color w:val="000000"/>
                <w:kern w:val="0"/>
                <w:sz w:val="28"/>
                <w:szCs w:val="28"/>
              </w:rPr>
              <w:t>机制研究</w:t>
            </w:r>
          </w:p>
        </w:tc>
      </w:tr>
      <w:tr w:rsidR="002B7CEB" w:rsidRPr="00706C0D" w:rsidTr="00AA169C">
        <w:trPr>
          <w:trHeight w:val="1265"/>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Pr>
                <w:rFonts w:ascii="宋体" w:hAnsi="宋体" w:cs="宋体" w:hint="eastAsia"/>
                <w:bCs/>
                <w:color w:val="000000"/>
                <w:kern w:val="0"/>
                <w:sz w:val="28"/>
                <w:szCs w:val="28"/>
              </w:rPr>
              <w:t>5</w:t>
            </w:r>
            <w:r w:rsidRPr="00706C0D">
              <w:rPr>
                <w:rFonts w:ascii="宋体" w:hAnsi="宋体" w:cs="宋体" w:hint="eastAsia"/>
                <w:bCs/>
                <w:color w:val="000000"/>
                <w:kern w:val="0"/>
                <w:sz w:val="28"/>
                <w:szCs w:val="28"/>
              </w:rPr>
              <w:t>.水资源与水生态环境司法保护机制研究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水资源和水生态环境保护的司法需求、损害鉴定、修复费用评估机制、修复方式选择以及费用承担方式等问题</w:t>
            </w:r>
          </w:p>
        </w:tc>
      </w:tr>
      <w:tr w:rsidR="002B7CEB" w:rsidRPr="00706C0D" w:rsidTr="00AA169C">
        <w:trPr>
          <w:trHeight w:val="1255"/>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Pr>
                <w:rFonts w:ascii="宋体" w:hAnsi="宋体" w:cs="宋体" w:hint="eastAsia"/>
                <w:bCs/>
                <w:color w:val="000000"/>
                <w:kern w:val="0"/>
                <w:sz w:val="28"/>
                <w:szCs w:val="28"/>
              </w:rPr>
              <w:t>6</w:t>
            </w:r>
            <w:r w:rsidRPr="00706C0D">
              <w:rPr>
                <w:rFonts w:ascii="宋体" w:hAnsi="宋体" w:cs="宋体" w:hint="eastAsia"/>
                <w:bCs/>
                <w:color w:val="000000"/>
                <w:kern w:val="0"/>
                <w:sz w:val="28"/>
                <w:szCs w:val="28"/>
              </w:rPr>
              <w:t>.网上审判方式与审理机制研究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网上立案、网上质证、网上庭审等审判方式改革的立法需求、运行机制以及隐私保护、数据共享及安全保障问题</w:t>
            </w:r>
          </w:p>
        </w:tc>
      </w:tr>
      <w:tr w:rsidR="002B7CEB" w:rsidRPr="00706C0D" w:rsidTr="00AA169C">
        <w:trPr>
          <w:trHeight w:val="969"/>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Pr>
                <w:rFonts w:ascii="宋体" w:hAnsi="宋体" w:cs="宋体" w:hint="eastAsia"/>
                <w:bCs/>
                <w:color w:val="000000"/>
                <w:kern w:val="0"/>
                <w:sz w:val="28"/>
                <w:szCs w:val="28"/>
              </w:rPr>
              <w:t>7</w:t>
            </w:r>
            <w:r w:rsidRPr="00706C0D">
              <w:rPr>
                <w:rFonts w:ascii="宋体" w:hAnsi="宋体" w:cs="宋体" w:hint="eastAsia"/>
                <w:bCs/>
                <w:color w:val="000000"/>
                <w:kern w:val="0"/>
                <w:sz w:val="28"/>
                <w:szCs w:val="28"/>
              </w:rPr>
              <w:t>.跨域立案诉讼服务制度研究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跨域立案诉讼服务的机制保障、技术保障、法律效力及审判责任承担等问题</w:t>
            </w:r>
          </w:p>
        </w:tc>
      </w:tr>
      <w:tr w:rsidR="002B7CEB" w:rsidRPr="00706C0D" w:rsidTr="00AA169C">
        <w:trPr>
          <w:trHeight w:val="900"/>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Pr>
                <w:rFonts w:ascii="宋体" w:hAnsi="宋体" w:cs="宋体" w:hint="eastAsia"/>
                <w:bCs/>
                <w:color w:val="000000"/>
                <w:kern w:val="0"/>
                <w:sz w:val="28"/>
                <w:szCs w:val="28"/>
              </w:rPr>
              <w:t>8</w:t>
            </w:r>
            <w:r w:rsidRPr="00706C0D">
              <w:rPr>
                <w:rFonts w:ascii="宋体" w:hAnsi="宋体" w:cs="宋体" w:hint="eastAsia"/>
                <w:bCs/>
                <w:color w:val="000000"/>
                <w:kern w:val="0"/>
                <w:sz w:val="28"/>
                <w:szCs w:val="28"/>
              </w:rPr>
              <w:t>.民商事案件“分调裁”机制研究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民商事案件繁简分流、</w:t>
            </w:r>
            <w:proofErr w:type="gramStart"/>
            <w:r w:rsidRPr="00706C0D">
              <w:rPr>
                <w:rFonts w:ascii="宋体" w:hAnsi="宋体" w:cs="宋体" w:hint="eastAsia"/>
                <w:color w:val="000000"/>
                <w:kern w:val="0"/>
                <w:sz w:val="28"/>
                <w:szCs w:val="28"/>
              </w:rPr>
              <w:t>诉调对接</w:t>
            </w:r>
            <w:proofErr w:type="gramEnd"/>
            <w:r w:rsidRPr="00706C0D">
              <w:rPr>
                <w:rFonts w:ascii="宋体" w:hAnsi="宋体" w:cs="宋体" w:hint="eastAsia"/>
                <w:color w:val="000000"/>
                <w:kern w:val="0"/>
                <w:sz w:val="28"/>
                <w:szCs w:val="28"/>
              </w:rPr>
              <w:t>、</w:t>
            </w:r>
            <w:proofErr w:type="gramStart"/>
            <w:r w:rsidRPr="00706C0D">
              <w:rPr>
                <w:rFonts w:ascii="宋体" w:hAnsi="宋体" w:cs="宋体" w:hint="eastAsia"/>
                <w:color w:val="000000"/>
                <w:kern w:val="0"/>
                <w:sz w:val="28"/>
                <w:szCs w:val="28"/>
              </w:rPr>
              <w:t>速裁等</w:t>
            </w:r>
            <w:proofErr w:type="gramEnd"/>
            <w:r w:rsidRPr="00706C0D">
              <w:rPr>
                <w:rFonts w:ascii="宋体" w:hAnsi="宋体" w:cs="宋体" w:hint="eastAsia"/>
                <w:color w:val="000000"/>
                <w:kern w:val="0"/>
                <w:sz w:val="28"/>
                <w:szCs w:val="28"/>
              </w:rPr>
              <w:t>工作机制</w:t>
            </w:r>
            <w:r>
              <w:rPr>
                <w:rFonts w:ascii="宋体" w:hAnsi="宋体" w:cs="宋体" w:hint="eastAsia"/>
                <w:color w:val="000000"/>
                <w:kern w:val="0"/>
                <w:sz w:val="28"/>
                <w:szCs w:val="28"/>
              </w:rPr>
              <w:t>建设</w:t>
            </w:r>
          </w:p>
        </w:tc>
      </w:tr>
      <w:tr w:rsidR="002B7CEB" w:rsidRPr="00706C0D" w:rsidTr="00AA169C">
        <w:trPr>
          <w:trHeight w:val="946"/>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Pr>
                <w:rFonts w:ascii="宋体" w:hAnsi="宋体" w:cs="宋体" w:hint="eastAsia"/>
                <w:bCs/>
                <w:color w:val="000000"/>
                <w:kern w:val="0"/>
                <w:sz w:val="28"/>
                <w:szCs w:val="28"/>
              </w:rPr>
              <w:t>9</w:t>
            </w:r>
            <w:r w:rsidRPr="00706C0D">
              <w:rPr>
                <w:rFonts w:ascii="宋体" w:hAnsi="宋体" w:cs="宋体" w:hint="eastAsia"/>
                <w:bCs/>
                <w:color w:val="000000"/>
                <w:kern w:val="0"/>
                <w:sz w:val="28"/>
                <w:szCs w:val="28"/>
              </w:rPr>
              <w:t>.法官履职保障机制研究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法官及其近亲属人身财产安全、名誉权保护的立法需求以及工作机制建设</w:t>
            </w:r>
          </w:p>
        </w:tc>
      </w:tr>
      <w:tr w:rsidR="002B7CEB" w:rsidRPr="00706C0D" w:rsidTr="00AA169C">
        <w:trPr>
          <w:trHeight w:val="849"/>
        </w:trPr>
        <w:tc>
          <w:tcPr>
            <w:tcW w:w="3134" w:type="dxa"/>
            <w:shd w:val="clear" w:color="auto" w:fill="auto"/>
            <w:vAlign w:val="center"/>
            <w:hideMark/>
          </w:tcPr>
          <w:p w:rsidR="002B7CEB" w:rsidRPr="00706C0D" w:rsidRDefault="002B7CEB" w:rsidP="00AA169C">
            <w:pPr>
              <w:spacing w:line="276" w:lineRule="auto"/>
              <w:jc w:val="left"/>
              <w:rPr>
                <w:rFonts w:ascii="宋体" w:hAnsi="宋体" w:cs="宋体"/>
                <w:bCs/>
                <w:color w:val="000000"/>
                <w:kern w:val="0"/>
                <w:sz w:val="28"/>
                <w:szCs w:val="28"/>
              </w:rPr>
            </w:pPr>
            <w:r>
              <w:rPr>
                <w:rFonts w:ascii="宋体" w:hAnsi="宋体" w:hint="eastAsia"/>
                <w:sz w:val="28"/>
                <w:szCs w:val="28"/>
              </w:rPr>
              <w:t>10</w:t>
            </w:r>
            <w:r w:rsidRPr="00706C0D">
              <w:rPr>
                <w:rFonts w:ascii="宋体" w:hAnsi="宋体" w:hint="eastAsia"/>
                <w:sz w:val="28"/>
                <w:szCs w:val="28"/>
              </w:rPr>
              <w:t>.知识产权诉讼特别程序研究</w:t>
            </w:r>
          </w:p>
        </w:tc>
        <w:tc>
          <w:tcPr>
            <w:tcW w:w="5812" w:type="dxa"/>
            <w:shd w:val="clear" w:color="auto" w:fill="auto"/>
            <w:vAlign w:val="center"/>
            <w:hideMark/>
          </w:tcPr>
          <w:p w:rsidR="002B7CEB" w:rsidRPr="00706C0D" w:rsidRDefault="002B7CEB" w:rsidP="00AA169C">
            <w:pPr>
              <w:spacing w:line="276" w:lineRule="auto"/>
              <w:rPr>
                <w:rFonts w:ascii="宋体" w:hAnsi="宋体" w:cs="宋体"/>
                <w:color w:val="000000"/>
                <w:kern w:val="0"/>
                <w:sz w:val="28"/>
                <w:szCs w:val="28"/>
              </w:rPr>
            </w:pPr>
            <w:r w:rsidRPr="00706C0D">
              <w:rPr>
                <w:rFonts w:ascii="宋体" w:hAnsi="宋体" w:hint="eastAsia"/>
                <w:sz w:val="28"/>
                <w:szCs w:val="28"/>
              </w:rPr>
              <w:t>知识产权诉讼证据规则、体现知识产权价值的侵权损害赔偿制度、知识产权诉讼审级制度、知识产权案件裁判方式、技术事实查明多元化机制、跨地区知识产权案件异地审理机制以及</w:t>
            </w:r>
            <w:r w:rsidRPr="00706C0D">
              <w:rPr>
                <w:rFonts w:ascii="宋体" w:hAnsi="宋体" w:hint="eastAsia"/>
                <w:sz w:val="28"/>
                <w:szCs w:val="28"/>
              </w:rPr>
              <w:lastRenderedPageBreak/>
              <w:t>民事、行政、刑事三类诉讼程序衔接。</w:t>
            </w:r>
          </w:p>
        </w:tc>
      </w:tr>
      <w:tr w:rsidR="002B7CEB" w:rsidRPr="00706C0D" w:rsidTr="00AA169C">
        <w:trPr>
          <w:trHeight w:val="885"/>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Pr>
                <w:rFonts w:ascii="宋体" w:hAnsi="宋体" w:cs="宋体" w:hint="eastAsia"/>
                <w:bCs/>
                <w:color w:val="000000"/>
                <w:kern w:val="0"/>
                <w:sz w:val="28"/>
                <w:szCs w:val="28"/>
              </w:rPr>
              <w:lastRenderedPageBreak/>
              <w:t>11</w:t>
            </w:r>
            <w:r w:rsidRPr="00706C0D">
              <w:rPr>
                <w:rFonts w:ascii="宋体" w:hAnsi="宋体" w:cs="宋体" w:hint="eastAsia"/>
                <w:bCs/>
                <w:color w:val="000000"/>
                <w:kern w:val="0"/>
                <w:sz w:val="28"/>
                <w:szCs w:val="28"/>
              </w:rPr>
              <w:t>.新时代人民法院司法政务管理研究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司法改革背景下，司法政务管理的范围、手段、模式等</w:t>
            </w:r>
            <w:r>
              <w:rPr>
                <w:rFonts w:ascii="宋体" w:hAnsi="宋体" w:cs="宋体" w:hint="eastAsia"/>
                <w:color w:val="000000"/>
                <w:kern w:val="0"/>
                <w:sz w:val="28"/>
                <w:szCs w:val="28"/>
              </w:rPr>
              <w:t>创新</w:t>
            </w:r>
            <w:r w:rsidRPr="00706C0D">
              <w:rPr>
                <w:rFonts w:ascii="宋体" w:hAnsi="宋体" w:cs="宋体" w:hint="eastAsia"/>
                <w:color w:val="000000"/>
                <w:kern w:val="0"/>
                <w:sz w:val="28"/>
                <w:szCs w:val="28"/>
              </w:rPr>
              <w:t>问题研究</w:t>
            </w:r>
          </w:p>
        </w:tc>
      </w:tr>
      <w:tr w:rsidR="002B7CEB" w:rsidRPr="00706C0D" w:rsidTr="00AA169C">
        <w:trPr>
          <w:trHeight w:val="930"/>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sidRPr="00706C0D">
              <w:rPr>
                <w:rFonts w:ascii="宋体" w:hAnsi="宋体" w:cs="宋体" w:hint="eastAsia"/>
                <w:bCs/>
                <w:color w:val="000000"/>
                <w:kern w:val="0"/>
                <w:sz w:val="28"/>
                <w:szCs w:val="28"/>
              </w:rPr>
              <w:t>1</w:t>
            </w:r>
            <w:r>
              <w:rPr>
                <w:rFonts w:ascii="宋体" w:hAnsi="宋体" w:cs="宋体" w:hint="eastAsia"/>
                <w:bCs/>
                <w:color w:val="000000"/>
                <w:kern w:val="0"/>
                <w:sz w:val="28"/>
                <w:szCs w:val="28"/>
              </w:rPr>
              <w:t>2</w:t>
            </w:r>
            <w:r w:rsidRPr="00706C0D">
              <w:rPr>
                <w:rFonts w:ascii="宋体" w:hAnsi="宋体" w:cs="宋体" w:hint="eastAsia"/>
                <w:bCs/>
                <w:color w:val="000000"/>
                <w:kern w:val="0"/>
                <w:sz w:val="28"/>
                <w:szCs w:val="28"/>
              </w:rPr>
              <w:t>.刑事案件缺席审判制度研究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刑事案件缺席审判的适用条件以及程序规则等问题</w:t>
            </w:r>
          </w:p>
        </w:tc>
      </w:tr>
      <w:tr w:rsidR="002B7CEB" w:rsidRPr="00706C0D" w:rsidTr="00AA169C">
        <w:trPr>
          <w:trHeight w:val="1281"/>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sidRPr="00706C0D">
              <w:rPr>
                <w:rFonts w:ascii="宋体" w:hAnsi="宋体" w:cs="宋体" w:hint="eastAsia"/>
                <w:bCs/>
                <w:color w:val="000000"/>
                <w:kern w:val="0"/>
                <w:sz w:val="28"/>
                <w:szCs w:val="28"/>
              </w:rPr>
              <w:t>1</w:t>
            </w:r>
            <w:r>
              <w:rPr>
                <w:rFonts w:ascii="宋体" w:hAnsi="宋体" w:cs="宋体" w:hint="eastAsia"/>
                <w:bCs/>
                <w:color w:val="000000"/>
                <w:kern w:val="0"/>
                <w:sz w:val="28"/>
                <w:szCs w:val="28"/>
              </w:rPr>
              <w:t>3</w:t>
            </w:r>
            <w:r w:rsidRPr="00706C0D">
              <w:rPr>
                <w:rFonts w:ascii="宋体" w:hAnsi="宋体" w:cs="宋体" w:hint="eastAsia"/>
                <w:bCs/>
                <w:color w:val="000000"/>
                <w:kern w:val="0"/>
                <w:sz w:val="28"/>
                <w:szCs w:val="28"/>
              </w:rPr>
              <w:t>.共享经营模式下的侵权责任问题研究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网约车、共享单车、共享汽车等经营模式下侵权的主要类型、问题焦点、归责原则及侵权责任构成要件等问题研究</w:t>
            </w:r>
          </w:p>
        </w:tc>
      </w:tr>
      <w:tr w:rsidR="002B7CEB" w:rsidRPr="00706C0D" w:rsidTr="00AA169C">
        <w:trPr>
          <w:trHeight w:val="978"/>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sidRPr="00706C0D">
              <w:rPr>
                <w:rFonts w:ascii="宋体" w:hAnsi="宋体" w:cs="宋体" w:hint="eastAsia"/>
                <w:bCs/>
                <w:color w:val="000000"/>
                <w:kern w:val="0"/>
                <w:sz w:val="28"/>
                <w:szCs w:val="28"/>
              </w:rPr>
              <w:t>1</w:t>
            </w:r>
            <w:r>
              <w:rPr>
                <w:rFonts w:ascii="宋体" w:hAnsi="宋体" w:cs="宋体" w:hint="eastAsia"/>
                <w:bCs/>
                <w:color w:val="000000"/>
                <w:kern w:val="0"/>
                <w:sz w:val="28"/>
                <w:szCs w:val="28"/>
              </w:rPr>
              <w:t>4</w:t>
            </w:r>
            <w:r w:rsidRPr="00706C0D">
              <w:rPr>
                <w:rFonts w:ascii="宋体" w:hAnsi="宋体" w:cs="宋体" w:hint="eastAsia"/>
                <w:bCs/>
                <w:color w:val="000000"/>
                <w:kern w:val="0"/>
                <w:sz w:val="28"/>
                <w:szCs w:val="28"/>
              </w:rPr>
              <w:t>.内地与香港跨境破产法律问题研究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内地与香港跨境破产裁判的认可范围和条件、审查规则及协作机制等问题研究</w:t>
            </w:r>
          </w:p>
        </w:tc>
      </w:tr>
      <w:tr w:rsidR="002B7CEB" w:rsidRPr="00706C0D" w:rsidTr="00AA169C">
        <w:trPr>
          <w:trHeight w:val="1129"/>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sidRPr="00706C0D">
              <w:rPr>
                <w:rFonts w:ascii="宋体" w:hAnsi="宋体" w:cs="宋体" w:hint="eastAsia"/>
                <w:bCs/>
                <w:color w:val="000000"/>
                <w:kern w:val="0"/>
                <w:sz w:val="28"/>
                <w:szCs w:val="28"/>
              </w:rPr>
              <w:t>1</w:t>
            </w:r>
            <w:r>
              <w:rPr>
                <w:rFonts w:ascii="宋体" w:hAnsi="宋体" w:cs="宋体" w:hint="eastAsia"/>
                <w:bCs/>
                <w:color w:val="000000"/>
                <w:kern w:val="0"/>
                <w:sz w:val="28"/>
                <w:szCs w:val="28"/>
              </w:rPr>
              <w:t>5</w:t>
            </w:r>
            <w:r w:rsidRPr="00706C0D">
              <w:rPr>
                <w:rFonts w:ascii="宋体" w:hAnsi="宋体" w:cs="宋体" w:hint="eastAsia"/>
                <w:bCs/>
                <w:color w:val="000000"/>
                <w:kern w:val="0"/>
                <w:sz w:val="28"/>
                <w:szCs w:val="28"/>
              </w:rPr>
              <w:t>.司法责任制背景下统一法律适用标准研究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司法责任制背景下法律统一适用的重点难点及促进法律统一适用的机制建设</w:t>
            </w:r>
          </w:p>
        </w:tc>
      </w:tr>
      <w:tr w:rsidR="002B7CEB" w:rsidRPr="00706C0D" w:rsidTr="00AA169C">
        <w:trPr>
          <w:trHeight w:val="885"/>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Pr>
                <w:rFonts w:ascii="宋体" w:hAnsi="宋体" w:cs="宋体" w:hint="eastAsia"/>
                <w:bCs/>
                <w:color w:val="000000"/>
                <w:kern w:val="0"/>
                <w:sz w:val="28"/>
                <w:szCs w:val="28"/>
              </w:rPr>
              <w:t>16</w:t>
            </w:r>
            <w:r w:rsidRPr="00706C0D">
              <w:rPr>
                <w:rFonts w:ascii="宋体" w:hAnsi="宋体" w:cs="宋体" w:hint="eastAsia"/>
                <w:bCs/>
                <w:color w:val="000000"/>
                <w:kern w:val="0"/>
                <w:sz w:val="28"/>
                <w:szCs w:val="28"/>
              </w:rPr>
              <w:t>.国家责任制度体系研究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国家责任的范围和类型、体系构建以及责任承担方式</w:t>
            </w:r>
          </w:p>
        </w:tc>
      </w:tr>
      <w:tr w:rsidR="002B7CEB" w:rsidRPr="00706C0D" w:rsidTr="00AA169C">
        <w:trPr>
          <w:trHeight w:val="1229"/>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Pr>
                <w:rFonts w:ascii="宋体" w:hAnsi="宋体" w:hint="eastAsia"/>
                <w:sz w:val="28"/>
                <w:szCs w:val="28"/>
              </w:rPr>
              <w:t>17</w:t>
            </w:r>
            <w:r w:rsidRPr="00706C0D">
              <w:rPr>
                <w:rFonts w:ascii="宋体" w:hAnsi="宋体" w:hint="eastAsia"/>
                <w:sz w:val="28"/>
                <w:szCs w:val="28"/>
              </w:rPr>
              <w:t>.党和国家机构改革背景下人民法院行政审判工作的创新和发展</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E2054B">
              <w:rPr>
                <w:rFonts w:ascii="宋体" w:hAnsi="宋体" w:cs="宋体" w:hint="eastAsia"/>
                <w:color w:val="000000"/>
                <w:kern w:val="0"/>
                <w:sz w:val="28"/>
                <w:szCs w:val="28"/>
              </w:rPr>
              <w:t>行政审判在党和国家机构改革背景下的机遇、挑战以及受案范围、诉讼主体、规范性文件审查等重大疑难问题研究，在促进“放管服”改革、改善营商环境等方面的职能作用和机制创新。</w:t>
            </w:r>
          </w:p>
        </w:tc>
      </w:tr>
      <w:tr w:rsidR="002B7CEB" w:rsidRPr="00706C0D" w:rsidTr="00AA169C">
        <w:trPr>
          <w:trHeight w:val="1261"/>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Pr>
                <w:rFonts w:ascii="宋体" w:hAnsi="宋体" w:cs="宋体" w:hint="eastAsia"/>
                <w:bCs/>
                <w:color w:val="000000"/>
                <w:kern w:val="0"/>
                <w:sz w:val="28"/>
                <w:szCs w:val="28"/>
              </w:rPr>
              <w:t>18</w:t>
            </w:r>
            <w:r w:rsidRPr="00706C0D">
              <w:rPr>
                <w:rFonts w:ascii="宋体" w:hAnsi="宋体" w:cs="宋体" w:hint="eastAsia"/>
                <w:bCs/>
                <w:color w:val="000000"/>
                <w:kern w:val="0"/>
                <w:sz w:val="28"/>
                <w:szCs w:val="28"/>
              </w:rPr>
              <w:t>.未成年网络司法保护问题研究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家庭、学校以及政府有关部门、社会群团组织在未成年网络司法保护方面的分工、协作机制以及立法支持等问题研究</w:t>
            </w:r>
          </w:p>
        </w:tc>
      </w:tr>
      <w:tr w:rsidR="002B7CEB" w:rsidRPr="00706C0D" w:rsidTr="00AA169C">
        <w:trPr>
          <w:trHeight w:val="1665"/>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Pr>
                <w:rFonts w:ascii="宋体" w:hAnsi="宋体" w:cs="宋体" w:hint="eastAsia"/>
                <w:bCs/>
                <w:color w:val="000000"/>
                <w:kern w:val="0"/>
                <w:sz w:val="28"/>
                <w:szCs w:val="28"/>
              </w:rPr>
              <w:t>19</w:t>
            </w:r>
            <w:r w:rsidRPr="00706C0D">
              <w:rPr>
                <w:rFonts w:ascii="宋体" w:hAnsi="宋体" w:cs="宋体" w:hint="eastAsia"/>
                <w:bCs/>
                <w:color w:val="000000"/>
                <w:kern w:val="0"/>
                <w:sz w:val="28"/>
                <w:szCs w:val="28"/>
              </w:rPr>
              <w:t>.刑事裁判公众认同问题研究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公众关注刑事裁判的主要领域及问题焦点、促进公众认同刑事裁判的主要难点以及人民法院提高公众认同的宣传、解读、引导等工作机制建设</w:t>
            </w:r>
          </w:p>
        </w:tc>
      </w:tr>
      <w:tr w:rsidR="002B7CEB" w:rsidRPr="00706C0D" w:rsidTr="00AA169C">
        <w:trPr>
          <w:trHeight w:val="991"/>
        </w:trPr>
        <w:tc>
          <w:tcPr>
            <w:tcW w:w="3134" w:type="dxa"/>
            <w:shd w:val="clear" w:color="auto" w:fill="auto"/>
            <w:vAlign w:val="center"/>
            <w:hideMark/>
          </w:tcPr>
          <w:p w:rsidR="002B7CEB" w:rsidRPr="00706C0D" w:rsidRDefault="002B7CEB" w:rsidP="00AA169C">
            <w:pPr>
              <w:jc w:val="left"/>
              <w:rPr>
                <w:rFonts w:ascii="宋体" w:hAnsi="宋体" w:cs="宋体"/>
                <w:bCs/>
                <w:color w:val="000000"/>
                <w:kern w:val="0"/>
                <w:sz w:val="28"/>
                <w:szCs w:val="28"/>
              </w:rPr>
            </w:pPr>
            <w:r>
              <w:rPr>
                <w:rFonts w:ascii="宋体" w:hAnsi="宋体" w:cs="宋体" w:hint="eastAsia"/>
                <w:bCs/>
                <w:color w:val="000000"/>
                <w:kern w:val="0"/>
                <w:sz w:val="28"/>
                <w:szCs w:val="28"/>
              </w:rPr>
              <w:t>20</w:t>
            </w:r>
            <w:r w:rsidRPr="00706C0D">
              <w:rPr>
                <w:rFonts w:ascii="宋体" w:hAnsi="宋体" w:cs="宋体" w:hint="eastAsia"/>
                <w:bCs/>
                <w:color w:val="000000"/>
                <w:kern w:val="0"/>
                <w:sz w:val="28"/>
                <w:szCs w:val="28"/>
              </w:rPr>
              <w:t>.大数据时代数据权利保护研究</w:t>
            </w:r>
          </w:p>
        </w:tc>
        <w:tc>
          <w:tcPr>
            <w:tcW w:w="5812" w:type="dxa"/>
            <w:shd w:val="clear" w:color="auto" w:fill="auto"/>
            <w:vAlign w:val="center"/>
            <w:hideMark/>
          </w:tcPr>
          <w:p w:rsidR="002B7CEB" w:rsidRPr="00706C0D" w:rsidRDefault="002B7CEB" w:rsidP="00AA169C">
            <w:pPr>
              <w:jc w:val="left"/>
              <w:rPr>
                <w:rFonts w:ascii="宋体" w:hAnsi="宋体" w:cs="宋体"/>
                <w:color w:val="000000"/>
                <w:kern w:val="0"/>
                <w:sz w:val="28"/>
                <w:szCs w:val="28"/>
              </w:rPr>
            </w:pPr>
            <w:r w:rsidRPr="00706C0D">
              <w:rPr>
                <w:rFonts w:ascii="宋体" w:hAnsi="宋体" w:cs="宋体" w:hint="eastAsia"/>
                <w:color w:val="000000"/>
                <w:kern w:val="0"/>
                <w:sz w:val="28"/>
                <w:szCs w:val="28"/>
              </w:rPr>
              <w:t>互联网背景</w:t>
            </w:r>
            <w:proofErr w:type="gramStart"/>
            <w:r w:rsidRPr="00706C0D">
              <w:rPr>
                <w:rFonts w:ascii="宋体" w:hAnsi="宋体" w:cs="宋体" w:hint="eastAsia"/>
                <w:color w:val="000000"/>
                <w:kern w:val="0"/>
                <w:sz w:val="28"/>
                <w:szCs w:val="28"/>
              </w:rPr>
              <w:t>下数据</w:t>
            </w:r>
            <w:proofErr w:type="gramEnd"/>
            <w:r w:rsidRPr="00706C0D">
              <w:rPr>
                <w:rFonts w:ascii="宋体" w:hAnsi="宋体" w:cs="宋体" w:hint="eastAsia"/>
                <w:color w:val="000000"/>
                <w:kern w:val="0"/>
                <w:sz w:val="28"/>
                <w:szCs w:val="28"/>
              </w:rPr>
              <w:t>权利的性质、内涵及其保护制度等</w:t>
            </w:r>
          </w:p>
        </w:tc>
      </w:tr>
    </w:tbl>
    <w:p w:rsidR="002B7CEB" w:rsidRPr="007E2B41" w:rsidRDefault="002B7CEB" w:rsidP="002B7CEB">
      <w:pPr>
        <w:spacing w:line="560" w:lineRule="exact"/>
        <w:jc w:val="center"/>
        <w:rPr>
          <w:rFonts w:ascii="Times New Roman" w:eastAsia="仿宋_GB2312" w:hAnsi="Times New Roman"/>
          <w:sz w:val="32"/>
          <w:szCs w:val="32"/>
        </w:rPr>
        <w:sectPr w:rsidR="002B7CEB" w:rsidRPr="007E2B41" w:rsidSect="006D476A">
          <w:pgSz w:w="11906" w:h="16838" w:code="9"/>
          <w:pgMar w:top="1474" w:right="1474" w:bottom="1474" w:left="1474" w:header="851" w:footer="992" w:gutter="0"/>
          <w:cols w:space="425"/>
          <w:docGrid w:linePitch="312"/>
        </w:sectPr>
      </w:pPr>
    </w:p>
    <w:p w:rsidR="004B67C6" w:rsidRPr="002B7CEB" w:rsidRDefault="004B67C6"/>
    <w:sectPr w:rsidR="004B67C6" w:rsidRPr="002B7CEB" w:rsidSect="004B67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F71" w:rsidRDefault="00C64F71" w:rsidP="002B7CEB">
      <w:r>
        <w:separator/>
      </w:r>
    </w:p>
  </w:endnote>
  <w:endnote w:type="continuationSeparator" w:id="0">
    <w:p w:rsidR="00C64F71" w:rsidRDefault="00C64F71" w:rsidP="002B7C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Microsoft JhengHei Light"/>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F71" w:rsidRDefault="00C64F71" w:rsidP="002B7CEB">
      <w:r>
        <w:separator/>
      </w:r>
    </w:p>
  </w:footnote>
  <w:footnote w:type="continuationSeparator" w:id="0">
    <w:p w:rsidR="00C64F71" w:rsidRDefault="00C64F71" w:rsidP="002B7C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7CEB"/>
    <w:rsid w:val="002B7CEB"/>
    <w:rsid w:val="004B67C6"/>
    <w:rsid w:val="00C64F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7C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B7CEB"/>
    <w:rPr>
      <w:sz w:val="18"/>
      <w:szCs w:val="18"/>
    </w:rPr>
  </w:style>
  <w:style w:type="paragraph" w:styleId="a4">
    <w:name w:val="footer"/>
    <w:basedOn w:val="a"/>
    <w:link w:val="Char0"/>
    <w:uiPriority w:val="99"/>
    <w:semiHidden/>
    <w:unhideWhenUsed/>
    <w:rsid w:val="002B7C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B7C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2018-09-04T04:38:00Z</dcterms:created>
  <dcterms:modified xsi:type="dcterms:W3CDTF">2018-09-04T04:38:00Z</dcterms:modified>
</cp:coreProperties>
</file>