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C20CC">
      <w:pPr>
        <w:jc w:val="center"/>
        <w:rPr>
          <w:rFonts w:hint="default" w:asciiTheme="minorAscii" w:hAnsiTheme="minorAscii" w:eastAsiaTheme="minorEastAsia"/>
          <w:b/>
          <w:bCs/>
          <w:sz w:val="28"/>
        </w:rPr>
      </w:pPr>
      <w:r>
        <w:rPr>
          <w:rFonts w:hint="default" w:asciiTheme="minorAscii" w:hAnsiTheme="minorAscii" w:eastAsiaTheme="minorEastAsia"/>
          <w:b/>
          <w:bCs/>
          <w:sz w:val="28"/>
        </w:rPr>
        <w:t>最高人民法院行政案件申请再审指南</w:t>
      </w:r>
    </w:p>
    <w:p w14:paraId="10B58344">
      <w:pPr>
        <w:rPr>
          <w:rFonts w:hint="default" w:asciiTheme="minorAscii" w:hAnsiTheme="minorAscii" w:eastAsiaTheme="minorEastAsia"/>
          <w:sz w:val="28"/>
        </w:rPr>
      </w:pPr>
      <w:r>
        <w:rPr>
          <w:rFonts w:hint="default" w:asciiTheme="minorAscii" w:hAnsiTheme="minorAscii" w:eastAsiaTheme="minorEastAsia"/>
          <w:sz w:val="28"/>
        </w:rPr>
        <w:t>　　为依法保护当事人正确行使申请再审权利，维护人民法院生效裁判的稳定性、权威性，依据《中华人民共和国行政诉讼法》、《最高人民法院关于适用</w:t>
      </w:r>
      <w:r>
        <w:rPr>
          <w:rFonts w:hint="eastAsia" w:asciiTheme="minorAscii" w:hAnsiTheme="minorAscii"/>
          <w:sz w:val="28"/>
          <w:lang w:val="en-US" w:eastAsia="zh-CN"/>
        </w:rPr>
        <w:t>〈</w:t>
      </w:r>
      <w:r>
        <w:rPr>
          <w:rFonts w:hint="default" w:asciiTheme="minorAscii" w:hAnsiTheme="minorAscii" w:eastAsiaTheme="minorEastAsia"/>
          <w:sz w:val="28"/>
        </w:rPr>
        <w:t>中华人民共和国行政诉讼法</w:t>
      </w:r>
      <w:r>
        <w:rPr>
          <w:rFonts w:hint="eastAsia" w:asciiTheme="minorAscii" w:hAnsiTheme="minorAscii"/>
          <w:sz w:val="28"/>
          <w:lang w:val="en-US" w:eastAsia="zh-CN"/>
        </w:rPr>
        <w:t>〉</w:t>
      </w:r>
      <w:r>
        <w:rPr>
          <w:rFonts w:hint="default" w:asciiTheme="minorAscii" w:hAnsiTheme="minorAscii" w:eastAsiaTheme="minorEastAsia"/>
          <w:sz w:val="28"/>
        </w:rPr>
        <w:t>的解释》、《最高人民法院关于行政申请再审案件立案程序的规定》等有关规定，现就有关事项告知如下：</w:t>
      </w:r>
    </w:p>
    <w:p w14:paraId="3A0AE463">
      <w:pPr>
        <w:rPr>
          <w:rFonts w:hint="default" w:asciiTheme="minorAscii" w:hAnsiTheme="minorAscii" w:eastAsiaTheme="minorEastAsia"/>
          <w:b/>
          <w:bCs/>
          <w:sz w:val="28"/>
        </w:rPr>
      </w:pPr>
      <w:r>
        <w:rPr>
          <w:rFonts w:hint="default" w:asciiTheme="minorAscii" w:hAnsiTheme="minorAscii" w:eastAsiaTheme="minorEastAsia"/>
          <w:b/>
          <w:bCs/>
          <w:sz w:val="28"/>
        </w:rPr>
        <w:t>　　一、哪些行政案件可以向最高人民法院申请再审？</w:t>
      </w:r>
    </w:p>
    <w:p w14:paraId="52C11093">
      <w:pPr>
        <w:rPr>
          <w:rFonts w:hint="default" w:asciiTheme="minorAscii" w:hAnsiTheme="minorAscii" w:eastAsiaTheme="minorEastAsia"/>
          <w:sz w:val="28"/>
        </w:rPr>
      </w:pPr>
      <w:r>
        <w:rPr>
          <w:rFonts w:hint="default" w:asciiTheme="minorAscii" w:hAnsiTheme="minorAscii" w:eastAsiaTheme="minorEastAsia"/>
          <w:sz w:val="28"/>
        </w:rPr>
        <w:t>　　第一条当事人对最高人民法院、高级人民法院已经发生法律效力的行政判决、裁定、调解书，可以向最高人民法院申请再审。</w:t>
      </w:r>
    </w:p>
    <w:p w14:paraId="031557EA">
      <w:pPr>
        <w:rPr>
          <w:rFonts w:hint="default" w:asciiTheme="minorAscii" w:hAnsiTheme="minorAscii" w:eastAsiaTheme="minorEastAsia"/>
          <w:sz w:val="28"/>
        </w:rPr>
      </w:pPr>
      <w:r>
        <w:rPr>
          <w:rFonts w:hint="default" w:asciiTheme="minorAscii" w:hAnsiTheme="minorAscii" w:eastAsiaTheme="minorEastAsia"/>
          <w:sz w:val="28"/>
        </w:rPr>
        <w:t>　　第二条申请再审，有下列情形之一的，人民法院不予立案：</w:t>
      </w:r>
    </w:p>
    <w:p w14:paraId="29907FF4">
      <w:pPr>
        <w:rPr>
          <w:rFonts w:hint="default" w:asciiTheme="minorAscii" w:hAnsiTheme="minorAscii" w:eastAsiaTheme="minorEastAsia"/>
          <w:sz w:val="28"/>
        </w:rPr>
      </w:pPr>
      <w:r>
        <w:rPr>
          <w:rFonts w:hint="default" w:asciiTheme="minorAscii" w:hAnsiTheme="minorAscii" w:eastAsiaTheme="minorEastAsia"/>
          <w:sz w:val="28"/>
        </w:rPr>
        <w:t>　　（一）再审申请被驳回后再次提出申请的；</w:t>
      </w:r>
    </w:p>
    <w:p w14:paraId="3D626FA4">
      <w:pPr>
        <w:rPr>
          <w:rFonts w:hint="default" w:asciiTheme="minorAscii" w:hAnsiTheme="minorAscii" w:eastAsiaTheme="minorEastAsia"/>
          <w:sz w:val="28"/>
        </w:rPr>
      </w:pPr>
      <w:r>
        <w:rPr>
          <w:rFonts w:hint="default" w:asciiTheme="minorAscii" w:hAnsiTheme="minorAscii" w:eastAsiaTheme="minorEastAsia"/>
          <w:sz w:val="28"/>
        </w:rPr>
        <w:t>　　（二）对再审判决、裁定提出申请的；</w:t>
      </w:r>
    </w:p>
    <w:p w14:paraId="55F52F91">
      <w:pPr>
        <w:rPr>
          <w:rFonts w:hint="default" w:asciiTheme="minorAscii" w:hAnsiTheme="minorAscii" w:eastAsiaTheme="minorEastAsia"/>
          <w:sz w:val="28"/>
        </w:rPr>
      </w:pPr>
      <w:r>
        <w:rPr>
          <w:rFonts w:hint="default" w:asciiTheme="minorAscii" w:hAnsiTheme="minorAscii" w:eastAsiaTheme="minorEastAsia"/>
          <w:sz w:val="28"/>
        </w:rPr>
        <w:t>　　（三）人民检察院对当事人的申请作出不予提出检察建议或者抗诉决定后又提出申请的案件；</w:t>
      </w:r>
    </w:p>
    <w:p w14:paraId="66C319E1">
      <w:pPr>
        <w:rPr>
          <w:rFonts w:hint="default" w:asciiTheme="minorAscii" w:hAnsiTheme="minorAscii" w:eastAsiaTheme="minorEastAsia"/>
          <w:sz w:val="28"/>
        </w:rPr>
      </w:pPr>
      <w:r>
        <w:rPr>
          <w:rFonts w:hint="default" w:asciiTheme="minorAscii" w:hAnsiTheme="minorAscii" w:eastAsiaTheme="minorEastAsia"/>
          <w:sz w:val="28"/>
        </w:rPr>
        <w:t>　　符合前款第一项、第二项规定情形的，当事人可以向人民检察院申请检察建议或者抗诉。</w:t>
      </w:r>
    </w:p>
    <w:p w14:paraId="57A8B930">
      <w:pPr>
        <w:rPr>
          <w:rFonts w:hint="default" w:asciiTheme="minorAscii" w:hAnsiTheme="minorAscii" w:eastAsiaTheme="minorEastAsia"/>
          <w:b/>
          <w:bCs/>
          <w:sz w:val="28"/>
        </w:rPr>
      </w:pPr>
      <w:r>
        <w:rPr>
          <w:rFonts w:hint="default" w:asciiTheme="minorAscii" w:hAnsiTheme="minorAscii" w:eastAsiaTheme="minorEastAsia"/>
          <w:b/>
          <w:bCs/>
          <w:sz w:val="28"/>
        </w:rPr>
        <w:t>　　二、哪些人可以申请再审？</w:t>
      </w:r>
    </w:p>
    <w:p w14:paraId="0D63791C">
      <w:pPr>
        <w:rPr>
          <w:rFonts w:hint="default" w:asciiTheme="minorAscii" w:hAnsiTheme="minorAscii" w:eastAsiaTheme="minorEastAsia"/>
          <w:sz w:val="28"/>
        </w:rPr>
      </w:pPr>
      <w:r>
        <w:rPr>
          <w:rFonts w:hint="default" w:asciiTheme="minorAscii" w:hAnsiTheme="minorAscii" w:eastAsiaTheme="minorEastAsia"/>
          <w:sz w:val="28"/>
        </w:rPr>
        <w:t>　　第三条再审申请人应当符合下列情形之一：</w:t>
      </w:r>
    </w:p>
    <w:p w14:paraId="58F2891F">
      <w:pPr>
        <w:rPr>
          <w:rFonts w:hint="default" w:asciiTheme="minorAscii" w:hAnsiTheme="minorAscii" w:eastAsiaTheme="minorEastAsia"/>
          <w:sz w:val="28"/>
        </w:rPr>
      </w:pPr>
      <w:r>
        <w:rPr>
          <w:rFonts w:hint="default" w:asciiTheme="minorAscii" w:hAnsiTheme="minorAscii" w:eastAsiaTheme="minorEastAsia"/>
          <w:sz w:val="28"/>
        </w:rPr>
        <w:t>　　（一）生效裁判文书列明的当事人；</w:t>
      </w:r>
    </w:p>
    <w:p w14:paraId="3833A66F">
      <w:pPr>
        <w:rPr>
          <w:rFonts w:hint="default" w:asciiTheme="minorAscii" w:hAnsiTheme="minorAscii" w:eastAsiaTheme="minorEastAsia"/>
          <w:sz w:val="28"/>
        </w:rPr>
      </w:pPr>
      <w:r>
        <w:rPr>
          <w:rFonts w:hint="default" w:asciiTheme="minorAscii" w:hAnsiTheme="minorAscii" w:eastAsiaTheme="minorEastAsia"/>
          <w:sz w:val="28"/>
        </w:rPr>
        <w:t>　　（二）其他因不能归责于本人的事由未被裁判文书列为当事人，但与行政行为有利害关系的公民、法人或者其他组织。</w:t>
      </w:r>
    </w:p>
    <w:p w14:paraId="36DD941F">
      <w:pPr>
        <w:rPr>
          <w:rFonts w:hint="default" w:asciiTheme="minorAscii" w:hAnsiTheme="minorAscii" w:eastAsiaTheme="minorEastAsia"/>
          <w:b/>
          <w:bCs/>
          <w:sz w:val="28"/>
        </w:rPr>
      </w:pPr>
      <w:r>
        <w:rPr>
          <w:rFonts w:hint="default" w:asciiTheme="minorAscii" w:hAnsiTheme="minorAscii" w:eastAsiaTheme="minorEastAsia"/>
          <w:b/>
          <w:bCs/>
          <w:sz w:val="28"/>
        </w:rPr>
        <w:t>　　三、行政再审申请应当在何时提出？</w:t>
      </w:r>
    </w:p>
    <w:p w14:paraId="3CAB99DE">
      <w:pPr>
        <w:rPr>
          <w:rFonts w:hint="default" w:asciiTheme="minorAscii" w:hAnsiTheme="minorAscii" w:eastAsiaTheme="minorEastAsia"/>
          <w:sz w:val="28"/>
        </w:rPr>
      </w:pPr>
      <w:r>
        <w:rPr>
          <w:rFonts w:hint="default" w:asciiTheme="minorAscii" w:hAnsiTheme="minorAscii" w:eastAsiaTheme="minorEastAsia"/>
          <w:sz w:val="28"/>
        </w:rPr>
        <w:t>　　第四条当事人申请再审，应当在判决、裁定、调解书发生法律效力后六个月内提出。有下列情形之一的，自知道或者应当知道之日起六个月内提出：</w:t>
      </w:r>
    </w:p>
    <w:p w14:paraId="795185F7">
      <w:pPr>
        <w:rPr>
          <w:rFonts w:hint="default" w:asciiTheme="minorAscii" w:hAnsiTheme="minorAscii" w:eastAsiaTheme="minorEastAsia"/>
          <w:sz w:val="28"/>
        </w:rPr>
      </w:pPr>
      <w:r>
        <w:rPr>
          <w:rFonts w:hint="default" w:asciiTheme="minorAscii" w:hAnsiTheme="minorAscii" w:eastAsiaTheme="minorEastAsia"/>
          <w:sz w:val="28"/>
        </w:rPr>
        <w:t>　　（一）有新的证据，足以推翻原判决、裁定的；</w:t>
      </w:r>
    </w:p>
    <w:p w14:paraId="42416166">
      <w:pPr>
        <w:rPr>
          <w:rFonts w:hint="default" w:asciiTheme="minorAscii" w:hAnsiTheme="minorAscii" w:eastAsiaTheme="minorEastAsia"/>
          <w:sz w:val="28"/>
        </w:rPr>
      </w:pPr>
      <w:r>
        <w:rPr>
          <w:rFonts w:hint="default" w:asciiTheme="minorAscii" w:hAnsiTheme="minorAscii" w:eastAsiaTheme="minorEastAsia"/>
          <w:sz w:val="28"/>
        </w:rPr>
        <w:t>　　（二）原判决、裁定认定事实的主要证据是伪造的；</w:t>
      </w:r>
    </w:p>
    <w:p w14:paraId="4E3D3176">
      <w:pPr>
        <w:rPr>
          <w:rFonts w:hint="default" w:asciiTheme="minorAscii" w:hAnsiTheme="minorAscii" w:eastAsiaTheme="minorEastAsia"/>
          <w:sz w:val="28"/>
        </w:rPr>
      </w:pPr>
      <w:r>
        <w:rPr>
          <w:rFonts w:hint="default" w:asciiTheme="minorAscii" w:hAnsiTheme="minorAscii" w:eastAsiaTheme="minorEastAsia"/>
          <w:sz w:val="28"/>
        </w:rPr>
        <w:t>　　（三）据以作出原判决、裁定的法律文书被撤销或者变更的；</w:t>
      </w:r>
    </w:p>
    <w:p w14:paraId="2D15BCE0">
      <w:pPr>
        <w:rPr>
          <w:rFonts w:hint="default" w:asciiTheme="minorAscii" w:hAnsiTheme="minorAscii" w:eastAsiaTheme="minorEastAsia"/>
          <w:sz w:val="28"/>
        </w:rPr>
      </w:pPr>
      <w:r>
        <w:rPr>
          <w:rFonts w:hint="default" w:asciiTheme="minorAscii" w:hAnsiTheme="minorAscii" w:eastAsiaTheme="minorEastAsia"/>
          <w:sz w:val="28"/>
        </w:rPr>
        <w:t>　　（四）审判人员审理该案件时有贪污受贿、徇私舞弊、枉法裁判行为的。</w:t>
      </w:r>
    </w:p>
    <w:p w14:paraId="71F649D7">
      <w:pPr>
        <w:rPr>
          <w:rFonts w:hint="default" w:asciiTheme="minorAscii" w:hAnsiTheme="minorAscii" w:eastAsiaTheme="minorEastAsia"/>
          <w:b/>
          <w:bCs/>
          <w:sz w:val="28"/>
        </w:rPr>
      </w:pPr>
      <w:r>
        <w:rPr>
          <w:rFonts w:hint="default" w:asciiTheme="minorAscii" w:hAnsiTheme="minorAscii" w:eastAsiaTheme="minorEastAsia"/>
          <w:b/>
          <w:bCs/>
          <w:sz w:val="28"/>
        </w:rPr>
        <w:t>　　四、向最高人民法院申请再审都有哪些方式？</w:t>
      </w:r>
    </w:p>
    <w:p w14:paraId="2E725F3E">
      <w:pPr>
        <w:rPr>
          <w:rFonts w:hint="default" w:asciiTheme="minorAscii" w:hAnsiTheme="minorAscii" w:eastAsiaTheme="minorEastAsia"/>
          <w:sz w:val="28"/>
        </w:rPr>
      </w:pPr>
      <w:r>
        <w:rPr>
          <w:rFonts w:hint="default" w:asciiTheme="minorAscii" w:hAnsiTheme="minorAscii" w:eastAsiaTheme="minorEastAsia"/>
          <w:sz w:val="28"/>
        </w:rPr>
        <w:t>　　第五条当事人向最高人民法院申请再审，可以通过下列方式提出：</w:t>
      </w:r>
    </w:p>
    <w:p w14:paraId="33751AE5">
      <w:pPr>
        <w:rPr>
          <w:rFonts w:hint="default" w:asciiTheme="minorAscii" w:hAnsiTheme="minorAscii" w:eastAsiaTheme="minorEastAsia"/>
          <w:sz w:val="28"/>
        </w:rPr>
      </w:pPr>
      <w:r>
        <w:rPr>
          <w:rFonts w:hint="default" w:asciiTheme="minorAscii" w:hAnsiTheme="minorAscii" w:eastAsiaTheme="minorEastAsia"/>
          <w:sz w:val="28"/>
        </w:rPr>
        <w:t>　　（一）通过人民法院在线服务平台、人民法院网上申诉信访平台、人民法院律师服务平台、最高人民法院诉讼服务网提交申请再审案件材料；</w:t>
      </w:r>
    </w:p>
    <w:p w14:paraId="43F5C3F8">
      <w:pPr>
        <w:rPr>
          <w:rFonts w:hint="default" w:asciiTheme="minorAscii" w:hAnsiTheme="minorAscii" w:eastAsiaTheme="minorEastAsia"/>
          <w:sz w:val="28"/>
        </w:rPr>
      </w:pPr>
      <w:r>
        <w:rPr>
          <w:rFonts w:hint="default" w:asciiTheme="minorAscii" w:hAnsiTheme="minorAscii" w:eastAsiaTheme="minorEastAsia"/>
          <w:sz w:val="28"/>
        </w:rPr>
        <w:t>　　（二）向最高人民法院邮寄提交申请再审案件材料；</w:t>
      </w:r>
    </w:p>
    <w:p w14:paraId="6AF42503">
      <w:pPr>
        <w:rPr>
          <w:rFonts w:hint="default" w:asciiTheme="minorAscii" w:hAnsiTheme="minorAscii" w:eastAsiaTheme="minorEastAsia"/>
          <w:sz w:val="28"/>
        </w:rPr>
      </w:pPr>
      <w:r>
        <w:rPr>
          <w:rFonts w:hint="default" w:asciiTheme="minorAscii" w:hAnsiTheme="minorAscii" w:eastAsiaTheme="minorEastAsia"/>
          <w:sz w:val="28"/>
        </w:rPr>
        <w:t>　　（三）到最高人民法院本部、各巡回法庭诉讼服务中心设立的专门窗口提交申请再审案件材料。</w:t>
      </w:r>
    </w:p>
    <w:p w14:paraId="29F487B8">
      <w:pPr>
        <w:rPr>
          <w:rFonts w:hint="default" w:asciiTheme="minorAscii" w:hAnsiTheme="minorAscii" w:eastAsiaTheme="minorEastAsia"/>
          <w:b/>
          <w:bCs/>
          <w:sz w:val="28"/>
        </w:rPr>
      </w:pPr>
      <w:r>
        <w:rPr>
          <w:rFonts w:hint="default" w:asciiTheme="minorAscii" w:hAnsiTheme="minorAscii" w:eastAsiaTheme="minorEastAsia"/>
          <w:b/>
          <w:bCs/>
          <w:sz w:val="28"/>
        </w:rPr>
        <w:t>　　五、行政申请再审应当提交哪些材料？</w:t>
      </w:r>
    </w:p>
    <w:p w14:paraId="6800A398">
      <w:pPr>
        <w:rPr>
          <w:rFonts w:hint="default" w:asciiTheme="minorAscii" w:hAnsiTheme="minorAscii" w:eastAsiaTheme="minorEastAsia"/>
          <w:sz w:val="28"/>
        </w:rPr>
      </w:pPr>
      <w:r>
        <w:rPr>
          <w:rFonts w:hint="default" w:asciiTheme="minorAscii" w:hAnsiTheme="minorAscii" w:eastAsiaTheme="minorEastAsia"/>
          <w:sz w:val="28"/>
        </w:rPr>
        <w:t>　　第六条当事人申请再审，应当提交下列材料：</w:t>
      </w:r>
    </w:p>
    <w:p w14:paraId="5A2A812C">
      <w:pPr>
        <w:rPr>
          <w:rFonts w:hint="default" w:asciiTheme="minorAscii" w:hAnsiTheme="minorAscii" w:eastAsiaTheme="minorEastAsia"/>
          <w:sz w:val="28"/>
        </w:rPr>
      </w:pPr>
      <w:r>
        <w:rPr>
          <w:rFonts w:hint="default" w:asciiTheme="minorAscii" w:hAnsiTheme="minorAscii" w:eastAsiaTheme="minorEastAsia"/>
          <w:sz w:val="28"/>
        </w:rPr>
        <w:t>　　（一）再审申请书，当事人通过窗口、邮寄方式提交的，还应当按照被申请人及原审其他当事人人数提交再审申请书副本；</w:t>
      </w:r>
    </w:p>
    <w:p w14:paraId="5CF01C89">
      <w:pPr>
        <w:rPr>
          <w:rFonts w:hint="default" w:asciiTheme="minorAscii" w:hAnsiTheme="minorAscii" w:eastAsiaTheme="minorEastAsia"/>
          <w:sz w:val="28"/>
        </w:rPr>
      </w:pPr>
      <w:r>
        <w:rPr>
          <w:rFonts w:hint="default" w:asciiTheme="minorAscii" w:hAnsiTheme="minorAscii" w:eastAsiaTheme="minorEastAsia"/>
          <w:sz w:val="28"/>
        </w:rPr>
        <w:t>　　（二）再审申请人是自然人的，应当提交身份证明复印件；再审申请人是法人或者其他组织的，应当提交加盖公章的营业执照复印件、组织机构代码证书复印件、法定代表人或者主要负责人身份证明书；法人或者其他组织不能提供组织机构代码证书复印件的，应当提交情况说明；</w:t>
      </w:r>
    </w:p>
    <w:p w14:paraId="09D590EA">
      <w:pPr>
        <w:rPr>
          <w:rFonts w:hint="default" w:asciiTheme="minorAscii" w:hAnsiTheme="minorAscii" w:eastAsiaTheme="minorEastAsia"/>
          <w:sz w:val="28"/>
        </w:rPr>
      </w:pPr>
      <w:r>
        <w:rPr>
          <w:rFonts w:hint="default" w:asciiTheme="minorAscii" w:hAnsiTheme="minorAscii" w:eastAsiaTheme="minorEastAsia"/>
          <w:sz w:val="28"/>
        </w:rPr>
        <w:t>　　（三）委托他人代为申请再审的，除提交授权委托书外，委托代理人是律师的，应当提交律师事务所函原件和律师执业证复印件；委托代理人是基层法律服务工作者的，应当提交基层法律服务所函原件和法律服务工作者执业证复印件，以及当事人一方位于执业区域内的证明材料；委托代理人是当事人的近亲属，应当提交代理人身份证明复印件以及与当事人有近亲属关系的证明材料；委托代理人是当事人的工作人员的，应当提交代理人身份证明复印件以及与当事人有合法劳动人事关系的证明材料；委托代理人是当事人所在社区、单位以及有关社会团体推荐的公民的，应当提交代理人身份证明复印件、推荐材料以及当事人隶属于该社区、单位的证明材料；</w:t>
      </w:r>
    </w:p>
    <w:p w14:paraId="3F4700C0">
      <w:pPr>
        <w:rPr>
          <w:rFonts w:hint="default" w:asciiTheme="minorAscii" w:hAnsiTheme="minorAscii" w:eastAsiaTheme="minorEastAsia"/>
          <w:sz w:val="28"/>
        </w:rPr>
      </w:pPr>
      <w:r>
        <w:rPr>
          <w:rFonts w:hint="default" w:asciiTheme="minorAscii" w:hAnsiTheme="minorAscii" w:eastAsiaTheme="minorEastAsia"/>
          <w:sz w:val="28"/>
        </w:rPr>
        <w:t>　　（四）申请再审的判决、裁定、调解书原件，或者经核对无误的复印件；判决、裁定、调解书系二审法院作出的，应当同时提交一审裁判文书原件，或者经核对无误的复印件；</w:t>
      </w:r>
    </w:p>
    <w:p w14:paraId="6D535474">
      <w:pPr>
        <w:rPr>
          <w:rFonts w:hint="default" w:asciiTheme="minorAscii" w:hAnsiTheme="minorAscii" w:eastAsiaTheme="minorEastAsia"/>
          <w:sz w:val="28"/>
        </w:rPr>
      </w:pPr>
      <w:r>
        <w:rPr>
          <w:rFonts w:hint="default" w:asciiTheme="minorAscii" w:hAnsiTheme="minorAscii" w:eastAsiaTheme="minorEastAsia"/>
          <w:sz w:val="28"/>
        </w:rPr>
        <w:t>　　（五）送达地址确认书；</w:t>
      </w:r>
    </w:p>
    <w:p w14:paraId="2C18D50A">
      <w:pPr>
        <w:rPr>
          <w:rFonts w:hint="default" w:asciiTheme="minorAscii" w:hAnsiTheme="minorAscii" w:eastAsiaTheme="minorEastAsia"/>
          <w:sz w:val="28"/>
        </w:rPr>
      </w:pPr>
      <w:r>
        <w:rPr>
          <w:rFonts w:hint="default" w:asciiTheme="minorAscii" w:hAnsiTheme="minorAscii" w:eastAsiaTheme="minorEastAsia"/>
          <w:sz w:val="28"/>
        </w:rPr>
        <w:t>　　（六）再审申请人有新证据的，应当提供证据材料，通过窗口、邮寄方式提交的，还应当按照被申请人及原审其他当事人人数提交相应份数的新证据副本；</w:t>
      </w:r>
    </w:p>
    <w:p w14:paraId="1C635553">
      <w:pPr>
        <w:rPr>
          <w:rFonts w:hint="default" w:asciiTheme="minorAscii" w:hAnsiTheme="minorAscii" w:eastAsiaTheme="minorEastAsia"/>
          <w:sz w:val="28"/>
        </w:rPr>
      </w:pPr>
      <w:r>
        <w:rPr>
          <w:rFonts w:hint="default" w:asciiTheme="minorAscii" w:hAnsiTheme="minorAscii" w:eastAsiaTheme="minorEastAsia"/>
          <w:sz w:val="28"/>
        </w:rPr>
        <w:t>　　（七）法律、法规规定需要提交的其他材料。</w:t>
      </w:r>
    </w:p>
    <w:p w14:paraId="520F3DF0">
      <w:pPr>
        <w:rPr>
          <w:rFonts w:hint="default" w:asciiTheme="minorAscii" w:hAnsiTheme="minorAscii" w:eastAsiaTheme="minorEastAsia"/>
          <w:sz w:val="28"/>
        </w:rPr>
      </w:pPr>
      <w:r>
        <w:rPr>
          <w:rFonts w:hint="default" w:asciiTheme="minorAscii" w:hAnsiTheme="minorAscii" w:eastAsiaTheme="minorEastAsia"/>
          <w:sz w:val="28"/>
        </w:rPr>
        <w:t>　　第七条当事人申请再审，一般还应当提交下列材料：</w:t>
      </w:r>
    </w:p>
    <w:p w14:paraId="44FE1331">
      <w:pPr>
        <w:rPr>
          <w:rFonts w:hint="default" w:asciiTheme="minorAscii" w:hAnsiTheme="minorAscii" w:eastAsiaTheme="minorEastAsia"/>
          <w:sz w:val="28"/>
        </w:rPr>
      </w:pPr>
      <w:r>
        <w:rPr>
          <w:rFonts w:hint="default" w:asciiTheme="minorAscii" w:hAnsiTheme="minorAscii" w:eastAsiaTheme="minorEastAsia"/>
          <w:sz w:val="28"/>
        </w:rPr>
        <w:t>　　（一）一审起诉状复印件、二审上诉状复印件；</w:t>
      </w:r>
    </w:p>
    <w:p w14:paraId="0E7CA1FF">
      <w:pPr>
        <w:rPr>
          <w:rFonts w:hint="default" w:asciiTheme="minorAscii" w:hAnsiTheme="minorAscii" w:eastAsiaTheme="minorEastAsia"/>
          <w:sz w:val="28"/>
        </w:rPr>
      </w:pPr>
      <w:r>
        <w:rPr>
          <w:rFonts w:hint="default" w:asciiTheme="minorAscii" w:hAnsiTheme="minorAscii" w:eastAsiaTheme="minorEastAsia"/>
          <w:sz w:val="28"/>
        </w:rPr>
        <w:t>　　（二）在原审诉讼过程中提交的主要证据复印件；</w:t>
      </w:r>
    </w:p>
    <w:p w14:paraId="148BAEE4">
      <w:pPr>
        <w:rPr>
          <w:rFonts w:hint="default" w:asciiTheme="minorAscii" w:hAnsiTheme="minorAscii" w:eastAsiaTheme="minorEastAsia"/>
          <w:sz w:val="28"/>
        </w:rPr>
      </w:pPr>
      <w:r>
        <w:rPr>
          <w:rFonts w:hint="default" w:asciiTheme="minorAscii" w:hAnsiTheme="minorAscii" w:eastAsiaTheme="minorEastAsia"/>
          <w:sz w:val="28"/>
        </w:rPr>
        <w:t>　　（三）支持再审申请事由和再审请求的证据材料；</w:t>
      </w:r>
    </w:p>
    <w:p w14:paraId="715C2118">
      <w:pPr>
        <w:rPr>
          <w:rFonts w:hint="default" w:asciiTheme="minorAscii" w:hAnsiTheme="minorAscii" w:eastAsiaTheme="minorEastAsia"/>
          <w:sz w:val="28"/>
        </w:rPr>
      </w:pPr>
      <w:r>
        <w:rPr>
          <w:rFonts w:hint="default" w:asciiTheme="minorAscii" w:hAnsiTheme="minorAscii" w:eastAsiaTheme="minorEastAsia"/>
          <w:sz w:val="28"/>
        </w:rPr>
        <w:t>　　（四）行政机关作出相关行政行为的证据材料；</w:t>
      </w:r>
    </w:p>
    <w:p w14:paraId="03148273">
      <w:pPr>
        <w:rPr>
          <w:rFonts w:hint="default" w:asciiTheme="minorAscii" w:hAnsiTheme="minorAscii" w:eastAsiaTheme="minorEastAsia"/>
          <w:sz w:val="28"/>
        </w:rPr>
      </w:pPr>
      <w:r>
        <w:rPr>
          <w:rFonts w:hint="default" w:asciiTheme="minorAscii" w:hAnsiTheme="minorAscii" w:eastAsiaTheme="minorEastAsia"/>
          <w:sz w:val="28"/>
        </w:rPr>
        <w:t>　　（五）其向行政机关提出申请，但行政机关不作为的相关证据材料；</w:t>
      </w:r>
    </w:p>
    <w:p w14:paraId="5348CEEE">
      <w:pPr>
        <w:rPr>
          <w:rFonts w:hint="default" w:asciiTheme="minorAscii" w:hAnsiTheme="minorAscii" w:eastAsiaTheme="minorEastAsia"/>
          <w:sz w:val="28"/>
        </w:rPr>
      </w:pPr>
      <w:r>
        <w:rPr>
          <w:rFonts w:hint="default" w:asciiTheme="minorAscii" w:hAnsiTheme="minorAscii" w:eastAsiaTheme="minorEastAsia"/>
          <w:sz w:val="28"/>
        </w:rPr>
        <w:t>　　（六）认为需要提交的其他材料。</w:t>
      </w:r>
    </w:p>
    <w:p w14:paraId="500E2A4A">
      <w:pPr>
        <w:rPr>
          <w:rFonts w:hint="default" w:asciiTheme="minorAscii" w:hAnsiTheme="minorAscii" w:eastAsiaTheme="minorEastAsia"/>
          <w:sz w:val="28"/>
        </w:rPr>
      </w:pPr>
      <w:r>
        <w:rPr>
          <w:rFonts w:hint="default" w:asciiTheme="minorAscii" w:hAnsiTheme="minorAscii" w:eastAsiaTheme="minorEastAsia"/>
          <w:sz w:val="28"/>
        </w:rPr>
        <w:t>　　第八条再审申请书应当载明下列事项：</w:t>
      </w:r>
    </w:p>
    <w:p w14:paraId="7EA02ED2">
      <w:pPr>
        <w:rPr>
          <w:rFonts w:hint="default" w:asciiTheme="minorAscii" w:hAnsiTheme="minorAscii" w:eastAsiaTheme="minorEastAsia"/>
          <w:sz w:val="28"/>
        </w:rPr>
      </w:pPr>
      <w:r>
        <w:rPr>
          <w:rFonts w:hint="default" w:asciiTheme="minorAscii" w:hAnsiTheme="minorAscii" w:eastAsiaTheme="minorEastAsia"/>
          <w:sz w:val="28"/>
        </w:rPr>
        <w:t>　　（一）再审申请人、被申请人及原审其他当事人的基本情况。当事人是自然人的，应当列明姓名、性别、出生日期、民族、职业（或工作单位及职务）、住址及有效联系电话、邮寄地址；当事人是法人或者其他组织的，应当列明名称、住所和法定代表人或者主要负责人的姓名、职务及有效联系电话、邮寄地址；</w:t>
      </w:r>
    </w:p>
    <w:p w14:paraId="0D633A22">
      <w:pPr>
        <w:rPr>
          <w:rFonts w:hint="default" w:asciiTheme="minorAscii" w:hAnsiTheme="minorAscii" w:eastAsiaTheme="minorEastAsia"/>
          <w:sz w:val="28"/>
        </w:rPr>
      </w:pPr>
      <w:r>
        <w:rPr>
          <w:rFonts w:hint="default" w:asciiTheme="minorAscii" w:hAnsiTheme="minorAscii" w:eastAsiaTheme="minorEastAsia"/>
          <w:sz w:val="28"/>
        </w:rPr>
        <w:t>　　（二）作出判决、裁定、调解书的人民法院名称，判决、裁定、调解书案号；</w:t>
      </w:r>
    </w:p>
    <w:p w14:paraId="4B51DCD7">
      <w:pPr>
        <w:rPr>
          <w:rFonts w:hint="default" w:asciiTheme="minorAscii" w:hAnsiTheme="minorAscii" w:eastAsiaTheme="minorEastAsia"/>
          <w:sz w:val="28"/>
        </w:rPr>
      </w:pPr>
      <w:r>
        <w:rPr>
          <w:rFonts w:hint="default" w:asciiTheme="minorAscii" w:hAnsiTheme="minorAscii" w:eastAsiaTheme="minorEastAsia"/>
          <w:sz w:val="28"/>
        </w:rPr>
        <w:t>　　（三）具体的再审请求；</w:t>
      </w:r>
    </w:p>
    <w:p w14:paraId="552E3928">
      <w:pPr>
        <w:rPr>
          <w:rFonts w:hint="default" w:asciiTheme="minorAscii" w:hAnsiTheme="minorAscii" w:eastAsiaTheme="minorEastAsia"/>
          <w:sz w:val="28"/>
        </w:rPr>
      </w:pPr>
      <w:r>
        <w:rPr>
          <w:rFonts w:hint="default" w:asciiTheme="minorAscii" w:hAnsiTheme="minorAscii" w:eastAsiaTheme="minorEastAsia"/>
          <w:sz w:val="28"/>
        </w:rPr>
        <w:t>　　（四）申请再审所依据的法定情形（须列明所依据的行政诉讼法的具体条、款、项）及具体事实、理由；</w:t>
      </w:r>
    </w:p>
    <w:p w14:paraId="0D69C2FC">
      <w:pPr>
        <w:rPr>
          <w:rFonts w:hint="default" w:asciiTheme="minorAscii" w:hAnsiTheme="minorAscii" w:eastAsiaTheme="minorEastAsia"/>
          <w:sz w:val="28"/>
        </w:rPr>
      </w:pPr>
      <w:r>
        <w:rPr>
          <w:rFonts w:hint="default" w:asciiTheme="minorAscii" w:hAnsiTheme="minorAscii" w:eastAsiaTheme="minorEastAsia"/>
          <w:sz w:val="28"/>
        </w:rPr>
        <w:t>　　（五）向最高人民法院申请再审的明确表述；</w:t>
      </w:r>
    </w:p>
    <w:p w14:paraId="66CB85AF">
      <w:pPr>
        <w:rPr>
          <w:rFonts w:hint="default" w:asciiTheme="minorAscii" w:hAnsiTheme="minorAscii" w:eastAsiaTheme="minorEastAsia"/>
          <w:sz w:val="28"/>
        </w:rPr>
      </w:pPr>
      <w:r>
        <w:rPr>
          <w:rFonts w:hint="default" w:asciiTheme="minorAscii" w:hAnsiTheme="minorAscii" w:eastAsiaTheme="minorEastAsia"/>
          <w:sz w:val="28"/>
        </w:rPr>
        <w:t>　　（六）再审申请人的签名、捺印或者盖章；</w:t>
      </w:r>
    </w:p>
    <w:p w14:paraId="1D23B418">
      <w:pPr>
        <w:rPr>
          <w:rFonts w:hint="default" w:asciiTheme="minorAscii" w:hAnsiTheme="minorAscii" w:eastAsiaTheme="minorEastAsia"/>
          <w:sz w:val="28"/>
        </w:rPr>
      </w:pPr>
      <w:r>
        <w:rPr>
          <w:rFonts w:hint="default" w:asciiTheme="minorAscii" w:hAnsiTheme="minorAscii" w:eastAsiaTheme="minorEastAsia"/>
          <w:sz w:val="28"/>
        </w:rPr>
        <w:t>　　（七）递交再审申请书的日期。</w:t>
      </w:r>
    </w:p>
    <w:p w14:paraId="2C2C426B">
      <w:pPr>
        <w:rPr>
          <w:rFonts w:hint="default" w:asciiTheme="minorAscii" w:hAnsiTheme="minorAscii" w:eastAsiaTheme="minorEastAsia"/>
          <w:sz w:val="28"/>
        </w:rPr>
      </w:pPr>
      <w:r>
        <w:rPr>
          <w:rFonts w:hint="default" w:asciiTheme="minorAscii" w:hAnsiTheme="minorAscii" w:eastAsiaTheme="minorEastAsia"/>
          <w:sz w:val="28"/>
        </w:rPr>
        <w:t>　　第九条再审申请人提交再审申请书等材料应当使用A4型纸，并可以附与书面材料内容一致的可编辑的一审、二审裁判文书和再审申请书的电子文本（WORD文本）、所有纸质文件的便携式格式文本（PDF文本）。上述两种格式的电子文本刻录在同一张光盘中，与纸质材料一并提交。在线提交上述材料的，根据相应规定办理。</w:t>
      </w:r>
    </w:p>
    <w:p w14:paraId="5E532D8E">
      <w:pPr>
        <w:rPr>
          <w:rFonts w:hint="default" w:asciiTheme="minorAscii" w:hAnsiTheme="minorAscii" w:eastAsiaTheme="minorEastAsia"/>
          <w:sz w:val="28"/>
        </w:rPr>
      </w:pPr>
      <w:r>
        <w:rPr>
          <w:rFonts w:hint="default" w:asciiTheme="minorAscii" w:hAnsiTheme="minorAscii" w:eastAsiaTheme="minorEastAsia"/>
          <w:sz w:val="28"/>
        </w:rPr>
        <w:t>　　第十条再审申请人提交的再审申请书等材料不符合上述要求，或者有人身攻击等内容，可能引起矛盾激化的，应当补充或者改正。</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2938EC"/>
    <w:rsid w:val="13293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2026-03-24T01:14:00Z</dcterms:created>
  <dc:creator>大象大象</dc:creator>
  <cp:lastModifiedBy>大象大象</cp:lastModifiedBy>
  <dcterms:modified xsi:type="dcterms:W3CDTF">2026-03-24T01:20:59Z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5C96C437B9D7492DB4DF0BC08F4D4F07_11</vt:lpwstr>
  </property>
  <property fmtid="{D5CDD505-2E9C-101B-9397-08002B2CF9AE}" pid="4" name="KSOTemplateDocerSaveRecord">
    <vt:lpwstr>eyJoZGlkIjoiMDU0ODNkYzBhZjRkOGRlNTY2OTg1Yzg1YTUwNTY3NjciLCJ1c2VySWQiOiIyNTQ1NTI2OTkifQ==</vt:lpwstr>
  </property>
</Properties>
</file>